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17FB4" w:rsidRPr="001D09C2" w:rsidRDefault="00F17FB4" w:rsidP="00F17FB4">
      <w:pPr>
        <w:pStyle w:val="Heading3"/>
        <w:spacing w:before="0"/>
        <w:jc w:val="center"/>
        <w:rPr>
          <w:rFonts w:ascii="Times New Roman" w:hAnsi="Times New Roman"/>
          <w:sz w:val="28"/>
          <w:szCs w:val="28"/>
        </w:rPr>
      </w:pPr>
      <w:r w:rsidRPr="001F2A38">
        <w:rPr>
          <w:rFonts w:ascii="Times New Roman" w:hAnsi="Times New Roman"/>
          <w:noProof/>
          <w:sz w:val="28"/>
          <w:szCs w:val="28"/>
          <w:highlight w:val="yellow"/>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6795" cy="923925"/>
                <wp:effectExtent l="9525" t="9525" r="1143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923925"/>
                        </a:xfrm>
                        <a:prstGeom prst="rect">
                          <a:avLst/>
                        </a:prstGeom>
                        <a:solidFill>
                          <a:srgbClr val="FFFFFF"/>
                        </a:solidFill>
                        <a:ln w="3175">
                          <a:solidFill>
                            <a:srgbClr val="000000"/>
                          </a:solidFill>
                          <a:miter lim="800000"/>
                          <a:headEnd/>
                          <a:tailEnd/>
                        </a:ln>
                      </wps:spPr>
                      <wps:txbx>
                        <w:txbxContent>
                          <w:p w:rsidR="00F17FB4" w:rsidRDefault="00F17FB4" w:rsidP="00F17FB4">
                            <w:r>
                              <w:rPr>
                                <w:noProof/>
                              </w:rPr>
                              <w:drawing>
                                <wp:inline distT="0" distB="0" distL="0" distR="0">
                                  <wp:extent cx="838200" cy="819150"/>
                                  <wp:effectExtent l="0" t="0" r="0" b="0"/>
                                  <wp:docPr id="1" name="Picture 1" descr="newpcc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pccd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819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80.8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" strokeweight=".25pt">
                <v:textbox>
                  <w:txbxContent>
                    <w:p w:rsidR="00F17FB4" w:rsidRDefault="00F17FB4" w:rsidP="00F17FB4">
                      <w:r>
                        <w:rPr>
                          <w:noProof/>
                        </w:rPr>
                        <w:drawing>
                          <wp:inline distT="0" distB="0" distL="0" distR="0">
                            <wp:extent cx="838200" cy="819150"/>
                            <wp:effectExtent l="0" t="0" r="0" b="0"/>
                            <wp:docPr id="1" name="Picture 1" descr="newpcc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pccd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819150"/>
                                    </a:xfrm>
                                    <a:prstGeom prst="rect">
                                      <a:avLst/>
                                    </a:prstGeom>
                                    <a:noFill/>
                                    <a:ln>
                                      <a:noFill/>
                                    </a:ln>
                                  </pic:spPr>
                                </pic:pic>
                              </a:graphicData>
                            </a:graphic>
                          </wp:inline>
                        </w:drawing>
                      </w:r>
                    </w:p>
                  </w:txbxContent>
                </v:textbox>
                <w10:wrap type="square"/>
              </v:shape>
            </w:pict>
          </mc:Fallback>
        </mc:AlternateContent>
      </w:r>
      <w:r w:rsidRPr="001D09C2">
        <w:rPr>
          <w:rFonts w:ascii="Times New Roman" w:hAnsi="Times New Roman"/>
          <w:sz w:val="28"/>
          <w:szCs w:val="28"/>
        </w:rPr>
        <w:t>Strategic Goals &amp; Institutional O</w:t>
      </w:r>
      <w:r>
        <w:rPr>
          <w:rFonts w:ascii="Times New Roman" w:hAnsi="Times New Roman"/>
          <w:sz w:val="28"/>
          <w:szCs w:val="28"/>
        </w:rPr>
        <w:t>bjectives</w:t>
      </w:r>
      <w:r w:rsidRPr="001D09C2">
        <w:rPr>
          <w:rFonts w:ascii="Times New Roman" w:hAnsi="Times New Roman"/>
          <w:sz w:val="28"/>
          <w:szCs w:val="28"/>
        </w:rPr>
        <w:t xml:space="preserve"> 201</w:t>
      </w:r>
      <w:r>
        <w:rPr>
          <w:rFonts w:ascii="Times New Roman" w:hAnsi="Times New Roman"/>
          <w:sz w:val="28"/>
          <w:szCs w:val="28"/>
        </w:rPr>
        <w:t>5</w:t>
      </w:r>
      <w:r w:rsidRPr="001D09C2">
        <w:rPr>
          <w:rFonts w:ascii="Times New Roman" w:hAnsi="Times New Roman"/>
          <w:sz w:val="28"/>
          <w:szCs w:val="28"/>
        </w:rPr>
        <w:t>-201</w:t>
      </w:r>
      <w:r>
        <w:rPr>
          <w:rFonts w:ascii="Times New Roman" w:hAnsi="Times New Roman"/>
          <w:sz w:val="28"/>
          <w:szCs w:val="28"/>
        </w:rPr>
        <w:t>6</w:t>
      </w:r>
    </w:p>
    <w:p w:rsidR="00F17FB4" w:rsidRDefault="00F17FB4" w:rsidP="00F17FB4">
      <w:pPr>
        <w:rPr>
          <w:rFonts w:ascii="Times New Roman" w:hAnsi="Times New Roman"/>
          <w:sz w:val="24"/>
        </w:rPr>
      </w:pPr>
    </w:p>
    <w:p w:rsidR="00F17FB4" w:rsidRDefault="00F17FB4" w:rsidP="00F17FB4">
      <w:pPr>
        <w:rPr>
          <w:rFonts w:ascii="Times New Roman" w:hAnsi="Times New Roman"/>
          <w:sz w:val="24"/>
        </w:rPr>
      </w:pPr>
      <w:r w:rsidRPr="001D09C2">
        <w:rPr>
          <w:rFonts w:ascii="Times New Roman" w:hAnsi="Times New Roman"/>
          <w:sz w:val="24"/>
        </w:rPr>
        <w:t xml:space="preserve">The following are the Peralta Community College District’s </w:t>
      </w:r>
      <w:r>
        <w:rPr>
          <w:rFonts w:ascii="Times New Roman" w:hAnsi="Times New Roman"/>
          <w:sz w:val="24"/>
        </w:rPr>
        <w:t>S</w:t>
      </w:r>
      <w:r w:rsidRPr="001D09C2">
        <w:rPr>
          <w:rFonts w:ascii="Times New Roman" w:hAnsi="Times New Roman"/>
          <w:sz w:val="24"/>
        </w:rPr>
        <w:t xml:space="preserve">trategic </w:t>
      </w:r>
      <w:r>
        <w:rPr>
          <w:rFonts w:ascii="Times New Roman" w:hAnsi="Times New Roman"/>
          <w:sz w:val="24"/>
        </w:rPr>
        <w:t>G</w:t>
      </w:r>
      <w:r w:rsidRPr="001D09C2">
        <w:rPr>
          <w:rFonts w:ascii="Times New Roman" w:hAnsi="Times New Roman"/>
          <w:sz w:val="24"/>
        </w:rPr>
        <w:t xml:space="preserve">oals and </w:t>
      </w:r>
      <w:r>
        <w:rPr>
          <w:rFonts w:ascii="Times New Roman" w:hAnsi="Times New Roman"/>
          <w:sz w:val="24"/>
        </w:rPr>
        <w:t>I</w:t>
      </w:r>
      <w:r w:rsidRPr="001D09C2">
        <w:rPr>
          <w:rFonts w:ascii="Times New Roman" w:hAnsi="Times New Roman"/>
          <w:sz w:val="24"/>
        </w:rPr>
        <w:t xml:space="preserve">nstitutional </w:t>
      </w:r>
      <w:r>
        <w:rPr>
          <w:rFonts w:ascii="Times New Roman" w:hAnsi="Times New Roman"/>
          <w:sz w:val="24"/>
        </w:rPr>
        <w:t xml:space="preserve">Objectives </w:t>
      </w:r>
      <w:r w:rsidRPr="001D09C2">
        <w:rPr>
          <w:rFonts w:ascii="Times New Roman" w:hAnsi="Times New Roman"/>
          <w:sz w:val="24"/>
        </w:rPr>
        <w:t>for the Academic Year 201</w:t>
      </w:r>
      <w:r>
        <w:rPr>
          <w:rFonts w:ascii="Times New Roman" w:hAnsi="Times New Roman"/>
          <w:sz w:val="24"/>
        </w:rPr>
        <w:t>5</w:t>
      </w:r>
      <w:r w:rsidRPr="001D09C2">
        <w:rPr>
          <w:rFonts w:ascii="Times New Roman" w:hAnsi="Times New Roman"/>
          <w:sz w:val="24"/>
        </w:rPr>
        <w:t>-</w:t>
      </w:r>
      <w:r>
        <w:rPr>
          <w:rFonts w:ascii="Times New Roman" w:hAnsi="Times New Roman"/>
          <w:sz w:val="24"/>
        </w:rPr>
        <w:t>20</w:t>
      </w:r>
      <w:r w:rsidRPr="001D09C2">
        <w:rPr>
          <w:rFonts w:ascii="Times New Roman" w:hAnsi="Times New Roman"/>
          <w:sz w:val="24"/>
        </w:rPr>
        <w:t>1</w:t>
      </w:r>
      <w:r>
        <w:rPr>
          <w:rFonts w:ascii="Times New Roman" w:hAnsi="Times New Roman"/>
          <w:sz w:val="24"/>
        </w:rPr>
        <w:t>6</w:t>
      </w:r>
      <w:r w:rsidRPr="001D09C2">
        <w:rPr>
          <w:rFonts w:ascii="Times New Roman" w:hAnsi="Times New Roman"/>
          <w:sz w:val="24"/>
        </w:rPr>
        <w:t xml:space="preserve"> which will be evaluated </w:t>
      </w:r>
      <w:r>
        <w:rPr>
          <w:rFonts w:ascii="Times New Roman" w:hAnsi="Times New Roman"/>
          <w:sz w:val="24"/>
        </w:rPr>
        <w:t xml:space="preserve">prior to the start of the next academic year.  </w:t>
      </w:r>
    </w:p>
    <w:p w:rsidR="00F17FB4" w:rsidRDefault="00F17FB4" w:rsidP="00F17FB4">
      <w:pPr>
        <w:rPr>
          <w:rFonts w:ascii="Times New Roman" w:hAnsi="Times New Roman"/>
          <w:sz w:val="24"/>
        </w:rPr>
      </w:pPr>
    </w:p>
    <w:p w:rsidR="00F17FB4" w:rsidRPr="001D09C2" w:rsidRDefault="00F17FB4" w:rsidP="00F17FB4">
      <w:pPr>
        <w:rPr>
          <w:rFonts w:ascii="Times New Roman" w:hAnsi="Times New Roman"/>
          <w:sz w:val="24"/>
        </w:rPr>
      </w:pPr>
      <w:r>
        <w:rPr>
          <w:rFonts w:ascii="Times New Roman" w:hAnsi="Times New Roman"/>
          <w:sz w:val="24"/>
        </w:rPr>
        <w:t>S</w:t>
      </w:r>
      <w:r w:rsidRPr="001D09C2">
        <w:rPr>
          <w:rFonts w:ascii="Times New Roman" w:hAnsi="Times New Roman"/>
          <w:b/>
          <w:sz w:val="24"/>
        </w:rPr>
        <w:t>trategic Focus for 201</w:t>
      </w:r>
      <w:r>
        <w:rPr>
          <w:rFonts w:ascii="Times New Roman" w:hAnsi="Times New Roman"/>
          <w:b/>
          <w:sz w:val="24"/>
        </w:rPr>
        <w:t>5</w:t>
      </w:r>
      <w:r w:rsidRPr="001D09C2">
        <w:rPr>
          <w:rFonts w:ascii="Times New Roman" w:hAnsi="Times New Roman"/>
          <w:b/>
          <w:sz w:val="24"/>
        </w:rPr>
        <w:t>-201</w:t>
      </w:r>
      <w:r>
        <w:rPr>
          <w:rFonts w:ascii="Times New Roman" w:hAnsi="Times New Roman"/>
          <w:b/>
          <w:sz w:val="24"/>
        </w:rPr>
        <w:t>6</w:t>
      </w:r>
      <w:r w:rsidRPr="001D09C2">
        <w:rPr>
          <w:rFonts w:ascii="Times New Roman" w:hAnsi="Times New Roman"/>
          <w:b/>
          <w:sz w:val="24"/>
        </w:rPr>
        <w:t>:</w:t>
      </w:r>
      <w:r>
        <w:rPr>
          <w:rFonts w:ascii="Times New Roman" w:hAnsi="Times New Roman"/>
          <w:sz w:val="24"/>
        </w:rPr>
        <w:t xml:space="preserve">  The</w:t>
      </w:r>
      <w:r w:rsidRPr="001D09C2">
        <w:rPr>
          <w:rFonts w:ascii="Times New Roman" w:hAnsi="Times New Roman"/>
          <w:sz w:val="24"/>
        </w:rPr>
        <w:t xml:space="preserve"> focus this year will be on student success in the core educational </w:t>
      </w:r>
      <w:r>
        <w:rPr>
          <w:rFonts w:ascii="Times New Roman" w:hAnsi="Times New Roman"/>
          <w:sz w:val="24"/>
        </w:rPr>
        <w:t>areas</w:t>
      </w:r>
      <w:r w:rsidRPr="001D09C2">
        <w:rPr>
          <w:rFonts w:ascii="Times New Roman" w:hAnsi="Times New Roman"/>
          <w:sz w:val="24"/>
        </w:rPr>
        <w:t xml:space="preserve"> of basic skills</w:t>
      </w:r>
      <w:r>
        <w:rPr>
          <w:rFonts w:ascii="Times New Roman" w:hAnsi="Times New Roman"/>
          <w:sz w:val="24"/>
        </w:rPr>
        <w:t>/ESOL (English for speakers of other languages)</w:t>
      </w:r>
      <w:r w:rsidRPr="001D09C2">
        <w:rPr>
          <w:rFonts w:ascii="Times New Roman" w:hAnsi="Times New Roman"/>
          <w:sz w:val="24"/>
        </w:rPr>
        <w:t xml:space="preserve">, transfer, and CTE </w:t>
      </w:r>
      <w:r>
        <w:rPr>
          <w:rFonts w:ascii="Times New Roman" w:hAnsi="Times New Roman"/>
          <w:sz w:val="24"/>
        </w:rPr>
        <w:t xml:space="preserve">(career technical education) </w:t>
      </w:r>
      <w:r w:rsidRPr="001D09C2">
        <w:rPr>
          <w:rFonts w:ascii="Times New Roman" w:hAnsi="Times New Roman"/>
          <w:sz w:val="24"/>
        </w:rPr>
        <w:t xml:space="preserve">by encouraging </w:t>
      </w:r>
      <w:r>
        <w:rPr>
          <w:rFonts w:ascii="Times New Roman" w:hAnsi="Times New Roman"/>
          <w:sz w:val="24"/>
        </w:rPr>
        <w:t xml:space="preserve">accountability, outcomes assessment, </w:t>
      </w:r>
      <w:r w:rsidRPr="001D09C2">
        <w:rPr>
          <w:rFonts w:ascii="Times New Roman" w:hAnsi="Times New Roman"/>
          <w:sz w:val="24"/>
        </w:rPr>
        <w:t xml:space="preserve">innovation and </w:t>
      </w:r>
      <w:r>
        <w:rPr>
          <w:rFonts w:ascii="Times New Roman" w:hAnsi="Times New Roman"/>
          <w:sz w:val="24"/>
        </w:rPr>
        <w:t xml:space="preserve">collaboration while </w:t>
      </w:r>
      <w:r w:rsidRPr="001D09C2">
        <w:rPr>
          <w:rFonts w:ascii="Times New Roman" w:hAnsi="Times New Roman"/>
          <w:sz w:val="24"/>
        </w:rPr>
        <w:t>spending within an established budget.</w:t>
      </w:r>
      <w:r>
        <w:rPr>
          <w:rFonts w:ascii="Times New Roman" w:hAnsi="Times New Roman"/>
          <w:sz w:val="24"/>
        </w:rPr>
        <w:t xml:space="preserve">  </w:t>
      </w:r>
    </w:p>
    <w:p w:rsidR="00F17FB4" w:rsidRPr="001D09C2" w:rsidRDefault="00F17FB4" w:rsidP="00F17FB4">
      <w:pPr>
        <w:rPr>
          <w:rFonts w:ascii="Times New Roman" w:hAnsi="Times New Roman"/>
          <w:sz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7560"/>
      </w:tblGrid>
      <w:tr w:rsidR="00F17FB4" w:rsidRPr="001D09C2" w:rsidTr="006A4752">
        <w:tc>
          <w:tcPr>
            <w:tcW w:w="2628" w:type="dxa"/>
          </w:tcPr>
          <w:p w:rsidR="00F17FB4" w:rsidRPr="001D09C2" w:rsidRDefault="00F17FB4" w:rsidP="006A4752">
            <w:pPr>
              <w:pStyle w:val="Heading3"/>
              <w:spacing w:before="120"/>
              <w:rPr>
                <w:rFonts w:ascii="Times New Roman" w:hAnsi="Times New Roman"/>
                <w:sz w:val="24"/>
                <w:szCs w:val="24"/>
              </w:rPr>
            </w:pPr>
            <w:r w:rsidRPr="001D09C2">
              <w:rPr>
                <w:rFonts w:ascii="Times New Roman" w:hAnsi="Times New Roman"/>
                <w:sz w:val="24"/>
                <w:szCs w:val="24"/>
              </w:rPr>
              <w:t>Strategic Goals</w:t>
            </w:r>
          </w:p>
        </w:tc>
        <w:tc>
          <w:tcPr>
            <w:tcW w:w="7560" w:type="dxa"/>
          </w:tcPr>
          <w:p w:rsidR="00F17FB4" w:rsidRPr="001D09C2" w:rsidRDefault="00F17FB4" w:rsidP="006A4752">
            <w:pPr>
              <w:pStyle w:val="Heading3"/>
              <w:spacing w:before="120"/>
              <w:rPr>
                <w:rFonts w:ascii="Times New Roman" w:hAnsi="Times New Roman"/>
                <w:sz w:val="24"/>
                <w:szCs w:val="24"/>
              </w:rPr>
            </w:pPr>
            <w:r w:rsidRPr="001D09C2">
              <w:rPr>
                <w:rFonts w:ascii="Times New Roman" w:hAnsi="Times New Roman"/>
                <w:sz w:val="24"/>
                <w:szCs w:val="24"/>
              </w:rPr>
              <w:t>201</w:t>
            </w:r>
            <w:r>
              <w:rPr>
                <w:rFonts w:ascii="Times New Roman" w:hAnsi="Times New Roman"/>
                <w:sz w:val="24"/>
                <w:szCs w:val="24"/>
              </w:rPr>
              <w:t>5</w:t>
            </w:r>
            <w:r w:rsidRPr="001D09C2">
              <w:rPr>
                <w:rFonts w:ascii="Times New Roman" w:hAnsi="Times New Roman"/>
                <w:sz w:val="24"/>
                <w:szCs w:val="24"/>
              </w:rPr>
              <w:t>-201</w:t>
            </w:r>
            <w:r>
              <w:rPr>
                <w:rFonts w:ascii="Times New Roman" w:hAnsi="Times New Roman"/>
                <w:sz w:val="24"/>
                <w:szCs w:val="24"/>
              </w:rPr>
              <w:t>6</w:t>
            </w:r>
            <w:r w:rsidRPr="001D09C2">
              <w:rPr>
                <w:rFonts w:ascii="Times New Roman" w:hAnsi="Times New Roman"/>
                <w:sz w:val="24"/>
                <w:szCs w:val="24"/>
              </w:rPr>
              <w:t xml:space="preserve"> Institutional </w:t>
            </w:r>
            <w:r>
              <w:rPr>
                <w:rFonts w:ascii="Times New Roman" w:hAnsi="Times New Roman"/>
                <w:sz w:val="24"/>
                <w:szCs w:val="24"/>
              </w:rPr>
              <w:t>Objectives</w:t>
            </w:r>
          </w:p>
        </w:tc>
      </w:tr>
      <w:tr w:rsidR="00F17FB4" w:rsidRPr="001D09C2" w:rsidTr="006A4752">
        <w:trPr>
          <w:trHeight w:val="1250"/>
        </w:trPr>
        <w:tc>
          <w:tcPr>
            <w:tcW w:w="2628" w:type="dxa"/>
          </w:tcPr>
          <w:p w:rsidR="00F17FB4" w:rsidRPr="001D09C2" w:rsidRDefault="00F17FB4" w:rsidP="006A4752">
            <w:pPr>
              <w:pStyle w:val="List"/>
              <w:spacing w:before="240"/>
              <w:rPr>
                <w:rFonts w:ascii="Times New Roman" w:hAnsi="Times New Roman"/>
                <w:b/>
                <w:sz w:val="24"/>
              </w:rPr>
            </w:pPr>
            <w:r w:rsidRPr="001D09C2">
              <w:rPr>
                <w:rFonts w:ascii="Times New Roman" w:hAnsi="Times New Roman"/>
                <w:b/>
                <w:sz w:val="24"/>
              </w:rPr>
              <w:t xml:space="preserve">A: </w:t>
            </w:r>
            <w:r w:rsidRPr="001D09C2">
              <w:rPr>
                <w:rFonts w:ascii="Times New Roman" w:hAnsi="Times New Roman"/>
                <w:b/>
                <w:sz w:val="24"/>
              </w:rPr>
              <w:tab/>
              <w:t>Advance Student Access, Equity, and Success</w:t>
            </w:r>
          </w:p>
        </w:tc>
        <w:tc>
          <w:tcPr>
            <w:tcW w:w="7560" w:type="dxa"/>
          </w:tcPr>
          <w:p w:rsidR="00F17FB4" w:rsidRDefault="00F17FB4" w:rsidP="006A4752">
            <w:pPr>
              <w:pStyle w:val="List"/>
              <w:spacing w:after="120"/>
              <w:ind w:left="619" w:hanging="619"/>
              <w:rPr>
                <w:rFonts w:ascii="Times New Roman" w:hAnsi="Times New Roman"/>
                <w:sz w:val="24"/>
              </w:rPr>
            </w:pPr>
            <w:r w:rsidRPr="001D09C2">
              <w:rPr>
                <w:rFonts w:ascii="Times New Roman" w:hAnsi="Times New Roman"/>
                <w:b/>
                <w:sz w:val="24"/>
              </w:rPr>
              <w:t>A.1</w:t>
            </w:r>
            <w:r w:rsidRPr="001D09C2">
              <w:rPr>
                <w:rFonts w:ascii="Times New Roman" w:hAnsi="Times New Roman"/>
                <w:b/>
                <w:sz w:val="24"/>
              </w:rPr>
              <w:tab/>
            </w:r>
            <w:r>
              <w:rPr>
                <w:rFonts w:ascii="Times New Roman" w:hAnsi="Times New Roman"/>
                <w:b/>
                <w:sz w:val="24"/>
              </w:rPr>
              <w:t xml:space="preserve">Student </w:t>
            </w:r>
            <w:r w:rsidRPr="001D09C2">
              <w:rPr>
                <w:rFonts w:ascii="Times New Roman" w:hAnsi="Times New Roman"/>
                <w:b/>
                <w:sz w:val="24"/>
              </w:rPr>
              <w:t xml:space="preserve">Access:  </w:t>
            </w:r>
            <w:r>
              <w:rPr>
                <w:rFonts w:ascii="Times New Roman" w:hAnsi="Times New Roman"/>
                <w:sz w:val="24"/>
              </w:rPr>
              <w:t xml:space="preserve">Increase enrollment for programs and course offerings in the essential areas of basic skills/ESOL, CTE and transfer to achieve the District target of 20, 609 </w:t>
            </w:r>
            <w:r w:rsidRPr="007F1776">
              <w:rPr>
                <w:rFonts w:ascii="Times New Roman" w:hAnsi="Times New Roman"/>
                <w:sz w:val="24"/>
              </w:rPr>
              <w:t>RES FTES.</w:t>
            </w:r>
          </w:p>
          <w:p w:rsidR="00F17FB4" w:rsidRPr="002B35E0" w:rsidRDefault="00F17FB4" w:rsidP="006A4752">
            <w:pPr>
              <w:pStyle w:val="List"/>
              <w:spacing w:after="120"/>
              <w:ind w:left="619" w:hanging="619"/>
              <w:rPr>
                <w:rFonts w:ascii="Times New Roman" w:hAnsi="Times New Roman"/>
                <w:sz w:val="24"/>
              </w:rPr>
            </w:pPr>
            <w:r w:rsidRPr="001D09C2">
              <w:rPr>
                <w:rFonts w:ascii="Times New Roman" w:hAnsi="Times New Roman"/>
                <w:b/>
                <w:sz w:val="24"/>
              </w:rPr>
              <w:t>A.2</w:t>
            </w:r>
            <w:r w:rsidRPr="001D09C2">
              <w:rPr>
                <w:rFonts w:ascii="Times New Roman" w:hAnsi="Times New Roman"/>
                <w:b/>
                <w:sz w:val="24"/>
              </w:rPr>
              <w:tab/>
            </w:r>
            <w:r>
              <w:rPr>
                <w:rFonts w:ascii="Times New Roman" w:hAnsi="Times New Roman"/>
                <w:b/>
                <w:sz w:val="24"/>
              </w:rPr>
              <w:t xml:space="preserve">Student </w:t>
            </w:r>
            <w:r w:rsidRPr="001D09C2">
              <w:rPr>
                <w:rFonts w:ascii="Times New Roman" w:hAnsi="Times New Roman"/>
                <w:b/>
                <w:sz w:val="24"/>
              </w:rPr>
              <w:t xml:space="preserve">Success: </w:t>
            </w:r>
            <w:r>
              <w:rPr>
                <w:rFonts w:ascii="Times New Roman" w:hAnsi="Times New Roman"/>
                <w:sz w:val="24"/>
              </w:rPr>
              <w:t xml:space="preserve">Using the total 2014-2015 data as a baseline, increase students’ participation in SSSP eligible activities by </w:t>
            </w:r>
            <w:r w:rsidRPr="007F1776">
              <w:rPr>
                <w:rFonts w:ascii="Times New Roman" w:hAnsi="Times New Roman"/>
                <w:sz w:val="24"/>
              </w:rPr>
              <w:t>at least</w:t>
            </w:r>
            <w:r>
              <w:rPr>
                <w:rFonts w:ascii="Times New Roman" w:hAnsi="Times New Roman"/>
                <w:sz w:val="24"/>
              </w:rPr>
              <w:t xml:space="preserve"> 50%, with specific emphasis on expanding orientations, assessments, academic advising and student educational plans.</w:t>
            </w:r>
          </w:p>
          <w:p w:rsidR="00F17FB4" w:rsidRPr="00F12DC3" w:rsidRDefault="00F17FB4" w:rsidP="006A4752">
            <w:pPr>
              <w:pStyle w:val="List"/>
              <w:spacing w:after="120"/>
              <w:ind w:left="619" w:hanging="619"/>
              <w:rPr>
                <w:rFonts w:ascii="Times New Roman" w:hAnsi="Times New Roman"/>
                <w:sz w:val="24"/>
              </w:rPr>
            </w:pPr>
            <w:r>
              <w:rPr>
                <w:rFonts w:ascii="Times New Roman" w:hAnsi="Times New Roman"/>
                <w:b/>
                <w:sz w:val="24"/>
              </w:rPr>
              <w:t xml:space="preserve">A.3    Student Success: </w:t>
            </w:r>
            <w:r w:rsidRPr="007F1776">
              <w:rPr>
                <w:rFonts w:ascii="Times New Roman" w:hAnsi="Times New Roman"/>
                <w:sz w:val="24"/>
              </w:rPr>
              <w:t>Fully</w:t>
            </w:r>
            <w:r w:rsidRPr="007F1776">
              <w:rPr>
                <w:rFonts w:ascii="Times New Roman" w:hAnsi="Times New Roman"/>
                <w:b/>
                <w:sz w:val="24"/>
              </w:rPr>
              <w:t xml:space="preserve"> i</w:t>
            </w:r>
            <w:r w:rsidRPr="007F1776">
              <w:rPr>
                <w:rFonts w:ascii="Times New Roman" w:hAnsi="Times New Roman"/>
                <w:sz w:val="24"/>
              </w:rPr>
              <w:t>mplement an Early Alert process for all students.</w:t>
            </w:r>
          </w:p>
          <w:p w:rsidR="00F17FB4" w:rsidRDefault="00F17FB4" w:rsidP="006A4752">
            <w:pPr>
              <w:pStyle w:val="List"/>
              <w:spacing w:after="120"/>
              <w:ind w:left="619" w:hanging="619"/>
              <w:rPr>
                <w:rFonts w:ascii="Times New Roman" w:hAnsi="Times New Roman"/>
                <w:sz w:val="24"/>
              </w:rPr>
            </w:pPr>
            <w:r w:rsidRPr="001D09C2">
              <w:rPr>
                <w:rFonts w:ascii="Times New Roman" w:hAnsi="Times New Roman"/>
                <w:b/>
                <w:sz w:val="24"/>
              </w:rPr>
              <w:t>A.</w:t>
            </w:r>
            <w:r>
              <w:rPr>
                <w:rFonts w:ascii="Times New Roman" w:hAnsi="Times New Roman"/>
                <w:b/>
                <w:sz w:val="24"/>
              </w:rPr>
              <w:t>4</w:t>
            </w:r>
            <w:r w:rsidRPr="001D09C2">
              <w:rPr>
                <w:rFonts w:ascii="Times New Roman" w:hAnsi="Times New Roman"/>
                <w:b/>
                <w:sz w:val="24"/>
              </w:rPr>
              <w:tab/>
            </w:r>
            <w:r>
              <w:rPr>
                <w:rFonts w:ascii="Times New Roman" w:hAnsi="Times New Roman"/>
                <w:b/>
                <w:sz w:val="24"/>
              </w:rPr>
              <w:t xml:space="preserve">Student </w:t>
            </w:r>
            <w:r w:rsidRPr="001D09C2">
              <w:rPr>
                <w:rFonts w:ascii="Times New Roman" w:hAnsi="Times New Roman"/>
                <w:b/>
                <w:sz w:val="24"/>
              </w:rPr>
              <w:t xml:space="preserve">Equity: </w:t>
            </w:r>
            <w:r>
              <w:rPr>
                <w:rFonts w:ascii="Times New Roman" w:hAnsi="Times New Roman"/>
                <w:sz w:val="24"/>
              </w:rPr>
              <w:t xml:space="preserve">Address the achievement gap through fully </w:t>
            </w:r>
            <w:r w:rsidR="004858CB">
              <w:rPr>
                <w:rFonts w:ascii="Times New Roman" w:hAnsi="Times New Roman"/>
                <w:sz w:val="24"/>
              </w:rPr>
              <w:t>i</w:t>
            </w:r>
            <w:r>
              <w:rPr>
                <w:rFonts w:ascii="Times New Roman" w:hAnsi="Times New Roman"/>
                <w:sz w:val="24"/>
              </w:rPr>
              <w:t>mplementing the student success and equity plans at each campus.</w:t>
            </w:r>
          </w:p>
          <w:p w:rsidR="00F17FB4" w:rsidRPr="001D09C2" w:rsidRDefault="00F17FB4" w:rsidP="00F17FB4">
            <w:pPr>
              <w:pStyle w:val="List"/>
              <w:spacing w:after="120"/>
              <w:ind w:left="619" w:hanging="619"/>
              <w:rPr>
                <w:rFonts w:ascii="Times New Roman" w:hAnsi="Times New Roman"/>
                <w:b/>
                <w:sz w:val="24"/>
              </w:rPr>
            </w:pPr>
            <w:r>
              <w:rPr>
                <w:rFonts w:ascii="Times New Roman" w:hAnsi="Times New Roman"/>
                <w:b/>
                <w:sz w:val="24"/>
              </w:rPr>
              <w:t xml:space="preserve">A.5    Student Success:  </w:t>
            </w:r>
            <w:r>
              <w:rPr>
                <w:rFonts w:ascii="Times New Roman" w:hAnsi="Times New Roman"/>
                <w:sz w:val="24"/>
              </w:rPr>
              <w:t>Using 2014-2015 data as a baseline, increase student engagement in activities such as student governance, student life activities, student leadership development, service learning programs, learning communities and student employment.</w:t>
            </w:r>
          </w:p>
        </w:tc>
      </w:tr>
      <w:tr w:rsidR="00F17FB4" w:rsidRPr="001D09C2" w:rsidTr="006A4752">
        <w:trPr>
          <w:trHeight w:val="818"/>
        </w:trPr>
        <w:tc>
          <w:tcPr>
            <w:tcW w:w="2628" w:type="dxa"/>
          </w:tcPr>
          <w:p w:rsidR="00F17FB4" w:rsidRPr="001D09C2" w:rsidRDefault="00F17FB4" w:rsidP="006A4752">
            <w:pPr>
              <w:pStyle w:val="List"/>
              <w:spacing w:before="240"/>
              <w:rPr>
                <w:rFonts w:ascii="Times New Roman" w:hAnsi="Times New Roman"/>
                <w:b/>
                <w:sz w:val="24"/>
              </w:rPr>
            </w:pPr>
            <w:r w:rsidRPr="001D09C2">
              <w:rPr>
                <w:rFonts w:ascii="Times New Roman" w:hAnsi="Times New Roman"/>
                <w:b/>
                <w:sz w:val="24"/>
              </w:rPr>
              <w:t xml:space="preserve">B: </w:t>
            </w:r>
            <w:r w:rsidRPr="001D09C2">
              <w:rPr>
                <w:rFonts w:ascii="Times New Roman" w:hAnsi="Times New Roman"/>
                <w:b/>
                <w:sz w:val="24"/>
              </w:rPr>
              <w:tab/>
              <w:t xml:space="preserve">Engage and Leverage Partners </w:t>
            </w:r>
          </w:p>
        </w:tc>
        <w:tc>
          <w:tcPr>
            <w:tcW w:w="7560" w:type="dxa"/>
          </w:tcPr>
          <w:p w:rsidR="00F17FB4" w:rsidRDefault="00F17FB4" w:rsidP="006A4752">
            <w:pPr>
              <w:pStyle w:val="List"/>
              <w:spacing w:after="120"/>
              <w:ind w:left="619" w:hanging="619"/>
              <w:rPr>
                <w:rFonts w:ascii="Times New Roman" w:hAnsi="Times New Roman"/>
                <w:sz w:val="24"/>
              </w:rPr>
            </w:pPr>
            <w:r w:rsidRPr="001D09C2">
              <w:rPr>
                <w:rFonts w:ascii="Times New Roman" w:hAnsi="Times New Roman"/>
                <w:b/>
                <w:sz w:val="24"/>
              </w:rPr>
              <w:t>B.</w:t>
            </w:r>
            <w:r>
              <w:rPr>
                <w:rFonts w:ascii="Times New Roman" w:hAnsi="Times New Roman"/>
                <w:b/>
                <w:sz w:val="24"/>
              </w:rPr>
              <w:t xml:space="preserve">1    </w:t>
            </w:r>
            <w:r w:rsidRPr="001D09C2">
              <w:rPr>
                <w:rFonts w:ascii="Times New Roman" w:hAnsi="Times New Roman"/>
                <w:b/>
                <w:sz w:val="24"/>
              </w:rPr>
              <w:t>Partnerships:</w:t>
            </w:r>
            <w:r w:rsidRPr="001D09C2">
              <w:rPr>
                <w:rFonts w:ascii="Times New Roman" w:hAnsi="Times New Roman"/>
                <w:sz w:val="24"/>
              </w:rPr>
              <w:t xml:space="preserve"> </w:t>
            </w:r>
            <w:r>
              <w:rPr>
                <w:rFonts w:ascii="Times New Roman" w:hAnsi="Times New Roman"/>
                <w:sz w:val="24"/>
              </w:rPr>
              <w:t>Develop a District-wide database that represents our current strategic partnerships and relationships</w:t>
            </w:r>
            <w:r w:rsidR="00B276AC">
              <w:rPr>
                <w:rFonts w:ascii="Times New Roman" w:hAnsi="Times New Roman"/>
                <w:sz w:val="24"/>
              </w:rPr>
              <w:t>, both locally and abroad</w:t>
            </w:r>
            <w:r>
              <w:rPr>
                <w:rFonts w:ascii="Times New Roman" w:hAnsi="Times New Roman"/>
                <w:sz w:val="24"/>
              </w:rPr>
              <w:t>.  Identify the individual responsible for this objective by October 1, 2015.</w:t>
            </w:r>
          </w:p>
          <w:p w:rsidR="00F17FB4" w:rsidRPr="002B35E0" w:rsidRDefault="00F17FB4" w:rsidP="00B276AC">
            <w:pPr>
              <w:pStyle w:val="List"/>
              <w:spacing w:after="120"/>
              <w:ind w:left="619" w:hanging="619"/>
              <w:rPr>
                <w:rFonts w:ascii="Times New Roman" w:hAnsi="Times New Roman"/>
                <w:sz w:val="24"/>
              </w:rPr>
            </w:pPr>
            <w:r w:rsidRPr="001D09C2">
              <w:rPr>
                <w:rFonts w:ascii="Times New Roman" w:hAnsi="Times New Roman"/>
                <w:b/>
                <w:sz w:val="24"/>
              </w:rPr>
              <w:t>B.2.   Partnerships:</w:t>
            </w:r>
            <w:r>
              <w:rPr>
                <w:rFonts w:ascii="Times New Roman" w:hAnsi="Times New Roman"/>
                <w:b/>
                <w:sz w:val="24"/>
              </w:rPr>
              <w:t xml:space="preserve"> </w:t>
            </w:r>
            <w:r w:rsidRPr="00E14A4A">
              <w:rPr>
                <w:rFonts w:ascii="Times New Roman" w:hAnsi="Times New Roman"/>
                <w:sz w:val="24"/>
              </w:rPr>
              <w:t>Expand</w:t>
            </w:r>
            <w:r w:rsidRPr="002B35E0">
              <w:rPr>
                <w:rFonts w:ascii="Times New Roman" w:hAnsi="Times New Roman"/>
                <w:sz w:val="24"/>
              </w:rPr>
              <w:t xml:space="preserve"> </w:t>
            </w:r>
            <w:r>
              <w:rPr>
                <w:rFonts w:ascii="Times New Roman" w:hAnsi="Times New Roman"/>
                <w:sz w:val="24"/>
              </w:rPr>
              <w:t xml:space="preserve">and document </w:t>
            </w:r>
            <w:r w:rsidR="00B276AC">
              <w:rPr>
                <w:rFonts w:ascii="Times New Roman" w:hAnsi="Times New Roman"/>
                <w:sz w:val="24"/>
              </w:rPr>
              <w:t xml:space="preserve">domestic and international </w:t>
            </w:r>
            <w:r w:rsidRPr="002B35E0">
              <w:rPr>
                <w:rFonts w:ascii="Times New Roman" w:hAnsi="Times New Roman"/>
                <w:sz w:val="24"/>
              </w:rPr>
              <w:t>partnerships with</w:t>
            </w:r>
            <w:r>
              <w:rPr>
                <w:rFonts w:ascii="Times New Roman" w:hAnsi="Times New Roman"/>
                <w:b/>
                <w:sz w:val="24"/>
              </w:rPr>
              <w:t xml:space="preserve"> </w:t>
            </w:r>
            <w:r w:rsidRPr="00297D47">
              <w:rPr>
                <w:rFonts w:ascii="Times New Roman" w:hAnsi="Times New Roman"/>
                <w:sz w:val="24"/>
              </w:rPr>
              <w:t>K-12</w:t>
            </w:r>
            <w:r>
              <w:rPr>
                <w:rFonts w:ascii="Times New Roman" w:hAnsi="Times New Roman"/>
                <w:b/>
                <w:sz w:val="24"/>
              </w:rPr>
              <w:t xml:space="preserve"> </w:t>
            </w:r>
            <w:r>
              <w:rPr>
                <w:rFonts w:ascii="Times New Roman" w:hAnsi="Times New Roman"/>
                <w:sz w:val="24"/>
              </w:rPr>
              <w:t>institutions, community based organizations, four-year institutions, local government, and regional industries and businesses.</w:t>
            </w:r>
          </w:p>
        </w:tc>
      </w:tr>
      <w:tr w:rsidR="00F17FB4" w:rsidRPr="001D09C2" w:rsidTr="006A4752">
        <w:tc>
          <w:tcPr>
            <w:tcW w:w="2628" w:type="dxa"/>
          </w:tcPr>
          <w:p w:rsidR="00F17FB4" w:rsidRPr="001D09C2" w:rsidRDefault="00F17FB4" w:rsidP="006A4752">
            <w:pPr>
              <w:pStyle w:val="List"/>
              <w:spacing w:before="240"/>
              <w:rPr>
                <w:rFonts w:ascii="Times New Roman" w:hAnsi="Times New Roman"/>
                <w:b/>
                <w:sz w:val="24"/>
              </w:rPr>
            </w:pPr>
            <w:r w:rsidRPr="001D09C2">
              <w:rPr>
                <w:rFonts w:ascii="Times New Roman" w:hAnsi="Times New Roman"/>
                <w:b/>
                <w:sz w:val="24"/>
              </w:rPr>
              <w:t xml:space="preserve">C: </w:t>
            </w:r>
            <w:r w:rsidRPr="001D09C2">
              <w:rPr>
                <w:rFonts w:ascii="Times New Roman" w:hAnsi="Times New Roman"/>
                <w:b/>
                <w:sz w:val="24"/>
              </w:rPr>
              <w:tab/>
              <w:t>Build Programs of Distinction</w:t>
            </w:r>
          </w:p>
        </w:tc>
        <w:tc>
          <w:tcPr>
            <w:tcW w:w="7560" w:type="dxa"/>
          </w:tcPr>
          <w:p w:rsidR="00F17FB4" w:rsidRPr="001D09C2" w:rsidRDefault="00F17FB4" w:rsidP="006A4752">
            <w:pPr>
              <w:pStyle w:val="List"/>
              <w:spacing w:after="120"/>
              <w:ind w:left="619" w:hanging="619"/>
              <w:rPr>
                <w:rFonts w:ascii="Times New Roman" w:hAnsi="Times New Roman"/>
                <w:sz w:val="24"/>
              </w:rPr>
            </w:pPr>
            <w:r w:rsidRPr="001D09C2">
              <w:rPr>
                <w:rFonts w:ascii="Times New Roman" w:hAnsi="Times New Roman"/>
                <w:b/>
                <w:sz w:val="24"/>
              </w:rPr>
              <w:t>C.1</w:t>
            </w:r>
            <w:r w:rsidRPr="001D09C2">
              <w:rPr>
                <w:rFonts w:ascii="Times New Roman" w:hAnsi="Times New Roman"/>
                <w:b/>
                <w:sz w:val="24"/>
              </w:rPr>
              <w:tab/>
            </w:r>
            <w:r>
              <w:rPr>
                <w:rFonts w:ascii="Times New Roman" w:hAnsi="Times New Roman"/>
                <w:b/>
                <w:sz w:val="24"/>
              </w:rPr>
              <w:t>Student Success:</w:t>
            </w:r>
            <w:r w:rsidRPr="001D09C2">
              <w:rPr>
                <w:rFonts w:ascii="Times New Roman" w:hAnsi="Times New Roman"/>
                <w:sz w:val="24"/>
              </w:rPr>
              <w:t xml:space="preserve"> </w:t>
            </w:r>
            <w:r>
              <w:rPr>
                <w:rFonts w:ascii="Times New Roman" w:hAnsi="Times New Roman"/>
                <w:sz w:val="24"/>
              </w:rPr>
              <w:t xml:space="preserve">Develop a District-wide first year experience/student success program </w:t>
            </w:r>
            <w:r w:rsidRPr="007F1776">
              <w:rPr>
                <w:rFonts w:ascii="Times New Roman" w:hAnsi="Times New Roman"/>
                <w:sz w:val="24"/>
              </w:rPr>
              <w:t>(such as Peralta Scholars).</w:t>
            </w:r>
          </w:p>
          <w:p w:rsidR="00F17FB4" w:rsidRPr="004858CB" w:rsidRDefault="00F17FB4" w:rsidP="006A4752">
            <w:pPr>
              <w:pStyle w:val="List"/>
              <w:spacing w:after="120"/>
              <w:ind w:left="619" w:hanging="619"/>
              <w:rPr>
                <w:rFonts w:ascii="Times New Roman" w:hAnsi="Times New Roman"/>
                <w:sz w:val="24"/>
                <w:u w:val="double"/>
              </w:rPr>
            </w:pPr>
            <w:r w:rsidRPr="001D09C2">
              <w:rPr>
                <w:rFonts w:ascii="Times New Roman" w:hAnsi="Times New Roman"/>
                <w:b/>
                <w:sz w:val="24"/>
              </w:rPr>
              <w:t>C.2</w:t>
            </w:r>
            <w:r w:rsidRPr="001D09C2">
              <w:rPr>
                <w:rFonts w:ascii="Times New Roman" w:hAnsi="Times New Roman"/>
                <w:sz w:val="24"/>
              </w:rPr>
              <w:t xml:space="preserve">   </w:t>
            </w:r>
            <w:r>
              <w:rPr>
                <w:rFonts w:ascii="Times New Roman" w:hAnsi="Times New Roman"/>
                <w:sz w:val="24"/>
              </w:rPr>
              <w:t xml:space="preserve"> </w:t>
            </w:r>
            <w:r w:rsidRPr="001D09C2">
              <w:rPr>
                <w:rFonts w:ascii="Times New Roman" w:hAnsi="Times New Roman"/>
                <w:b/>
                <w:sz w:val="24"/>
              </w:rPr>
              <w:t>Student Success:</w:t>
            </w:r>
            <w:r>
              <w:rPr>
                <w:rFonts w:ascii="Times New Roman" w:hAnsi="Times New Roman"/>
                <w:sz w:val="24"/>
              </w:rPr>
              <w:t xml:space="preserve">  Develop </w:t>
            </w:r>
            <w:r w:rsidRPr="007F1776">
              <w:rPr>
                <w:rFonts w:ascii="Times New Roman" w:hAnsi="Times New Roman"/>
                <w:sz w:val="24"/>
              </w:rPr>
              <w:t xml:space="preserve">and </w:t>
            </w:r>
            <w:r w:rsidR="004858CB">
              <w:rPr>
                <w:rFonts w:ascii="Times New Roman" w:hAnsi="Times New Roman"/>
                <w:sz w:val="24"/>
              </w:rPr>
              <w:t xml:space="preserve">fully </w:t>
            </w:r>
            <w:r w:rsidRPr="007F1776">
              <w:rPr>
                <w:rFonts w:ascii="Times New Roman" w:hAnsi="Times New Roman"/>
                <w:sz w:val="24"/>
              </w:rPr>
              <w:t>implement</w:t>
            </w:r>
            <w:r>
              <w:rPr>
                <w:rFonts w:ascii="Times New Roman" w:hAnsi="Times New Roman"/>
                <w:sz w:val="24"/>
              </w:rPr>
              <w:t xml:space="preserve"> an innovative student </w:t>
            </w:r>
            <w:r w:rsidR="004858CB">
              <w:rPr>
                <w:rFonts w:ascii="Times New Roman" w:hAnsi="Times New Roman"/>
                <w:sz w:val="24"/>
              </w:rPr>
              <w:t>success program at each college that feeds into the District-wide first year experience/student success program.</w:t>
            </w:r>
          </w:p>
        </w:tc>
      </w:tr>
      <w:tr w:rsidR="00F17FB4" w:rsidRPr="001D09C2" w:rsidTr="006A4752">
        <w:tc>
          <w:tcPr>
            <w:tcW w:w="2628" w:type="dxa"/>
          </w:tcPr>
          <w:p w:rsidR="00F17FB4" w:rsidRPr="001D09C2" w:rsidRDefault="00F17FB4" w:rsidP="006A4752">
            <w:pPr>
              <w:pStyle w:val="List"/>
              <w:spacing w:before="240"/>
              <w:rPr>
                <w:rFonts w:ascii="Times New Roman" w:hAnsi="Times New Roman"/>
                <w:b/>
                <w:sz w:val="24"/>
              </w:rPr>
            </w:pPr>
            <w:r w:rsidRPr="001D09C2">
              <w:rPr>
                <w:rFonts w:ascii="Times New Roman" w:hAnsi="Times New Roman"/>
                <w:b/>
                <w:sz w:val="24"/>
              </w:rPr>
              <w:t xml:space="preserve">D: </w:t>
            </w:r>
            <w:r w:rsidRPr="001D09C2">
              <w:rPr>
                <w:rFonts w:ascii="Times New Roman" w:hAnsi="Times New Roman"/>
                <w:b/>
                <w:sz w:val="24"/>
              </w:rPr>
              <w:tab/>
            </w:r>
            <w:r>
              <w:rPr>
                <w:rFonts w:ascii="Times New Roman" w:hAnsi="Times New Roman"/>
                <w:b/>
                <w:sz w:val="24"/>
              </w:rPr>
              <w:t xml:space="preserve">Strengthen Accountability, </w:t>
            </w:r>
            <w:r w:rsidRPr="001D09C2">
              <w:rPr>
                <w:rFonts w:ascii="Times New Roman" w:hAnsi="Times New Roman"/>
                <w:b/>
                <w:sz w:val="24"/>
              </w:rPr>
              <w:t xml:space="preserve">Innovation and Collaboration </w:t>
            </w:r>
          </w:p>
        </w:tc>
        <w:tc>
          <w:tcPr>
            <w:tcW w:w="7560" w:type="dxa"/>
          </w:tcPr>
          <w:p w:rsidR="00F17FB4" w:rsidRPr="002B35E0" w:rsidRDefault="00F17FB4" w:rsidP="006A4752">
            <w:pPr>
              <w:pStyle w:val="List"/>
              <w:spacing w:after="120"/>
              <w:ind w:left="619" w:hanging="619"/>
              <w:rPr>
                <w:rFonts w:ascii="Times New Roman" w:hAnsi="Times New Roman"/>
                <w:sz w:val="24"/>
              </w:rPr>
            </w:pPr>
            <w:r w:rsidRPr="001D09C2">
              <w:rPr>
                <w:rFonts w:ascii="Times New Roman" w:hAnsi="Times New Roman"/>
                <w:b/>
                <w:sz w:val="24"/>
              </w:rPr>
              <w:t>D.1</w:t>
            </w:r>
            <w:r w:rsidRPr="001D09C2">
              <w:rPr>
                <w:rFonts w:ascii="Times New Roman" w:hAnsi="Times New Roman"/>
                <w:b/>
                <w:sz w:val="24"/>
              </w:rPr>
              <w:tab/>
            </w:r>
            <w:r>
              <w:rPr>
                <w:rFonts w:ascii="Times New Roman" w:hAnsi="Times New Roman"/>
                <w:b/>
                <w:sz w:val="24"/>
              </w:rPr>
              <w:t xml:space="preserve">Service Leadership: </w:t>
            </w:r>
            <w:r>
              <w:rPr>
                <w:rFonts w:ascii="Times New Roman" w:hAnsi="Times New Roman"/>
                <w:sz w:val="24"/>
              </w:rPr>
              <w:t xml:space="preserve">Provide professional development opportunities for faculty, staff and administrators that lead to better service to our students and colleagues </w:t>
            </w:r>
            <w:r w:rsidRPr="007F1776">
              <w:rPr>
                <w:rFonts w:ascii="Times New Roman" w:hAnsi="Times New Roman"/>
                <w:sz w:val="24"/>
              </w:rPr>
              <w:t>and community partners.</w:t>
            </w:r>
          </w:p>
          <w:p w:rsidR="00F17FB4" w:rsidRDefault="00F17FB4" w:rsidP="006A4752">
            <w:pPr>
              <w:pStyle w:val="List"/>
              <w:spacing w:after="120"/>
              <w:ind w:left="619" w:hanging="619"/>
              <w:rPr>
                <w:rFonts w:ascii="Times New Roman" w:hAnsi="Times New Roman"/>
                <w:sz w:val="24"/>
              </w:rPr>
            </w:pPr>
            <w:r w:rsidRPr="001D09C2">
              <w:rPr>
                <w:rFonts w:ascii="Times New Roman" w:hAnsi="Times New Roman"/>
                <w:b/>
                <w:sz w:val="24"/>
              </w:rPr>
              <w:lastRenderedPageBreak/>
              <w:t>D.2</w:t>
            </w:r>
            <w:r w:rsidRPr="001D09C2">
              <w:rPr>
                <w:rFonts w:ascii="Times New Roman" w:hAnsi="Times New Roman"/>
                <w:b/>
                <w:sz w:val="24"/>
              </w:rPr>
              <w:tab/>
            </w:r>
            <w:r>
              <w:rPr>
                <w:rFonts w:ascii="Times New Roman" w:hAnsi="Times New Roman"/>
                <w:b/>
                <w:sz w:val="24"/>
              </w:rPr>
              <w:t xml:space="preserve">Institutional Leadership and Governance: </w:t>
            </w:r>
            <w:r w:rsidRPr="007F1776">
              <w:rPr>
                <w:rFonts w:ascii="Times New Roman" w:hAnsi="Times New Roman"/>
                <w:sz w:val="24"/>
              </w:rPr>
              <w:t>Evaluate and update policies and administrative procedures, the overall PCCD organizational structure, and functional responsibilities within the District.</w:t>
            </w:r>
            <w:r>
              <w:rPr>
                <w:rFonts w:ascii="Times New Roman" w:hAnsi="Times New Roman"/>
                <w:sz w:val="24"/>
              </w:rPr>
              <w:t xml:space="preserve"> </w:t>
            </w:r>
          </w:p>
          <w:p w:rsidR="00F17FB4" w:rsidRDefault="00F17FB4" w:rsidP="006A4752">
            <w:pPr>
              <w:pStyle w:val="List"/>
              <w:spacing w:after="120"/>
              <w:ind w:left="619" w:hanging="619"/>
              <w:rPr>
                <w:rFonts w:ascii="Times New Roman" w:hAnsi="Times New Roman"/>
                <w:sz w:val="24"/>
              </w:rPr>
            </w:pPr>
            <w:r>
              <w:rPr>
                <w:rFonts w:ascii="Times New Roman" w:hAnsi="Times New Roman"/>
                <w:b/>
                <w:sz w:val="24"/>
              </w:rPr>
              <w:t xml:space="preserve">D.3.   Institutional Effectiveness: </w:t>
            </w:r>
            <w:r w:rsidRPr="007F1776">
              <w:rPr>
                <w:rFonts w:ascii="Times New Roman" w:hAnsi="Times New Roman"/>
                <w:sz w:val="24"/>
              </w:rPr>
              <w:t>Evaluate and update the PBIM participatory governance structure and the Budget Allocation Model (BAM).</w:t>
            </w:r>
            <w:r>
              <w:rPr>
                <w:rFonts w:ascii="Times New Roman" w:hAnsi="Times New Roman"/>
                <w:sz w:val="24"/>
              </w:rPr>
              <w:t xml:space="preserve">  </w:t>
            </w:r>
          </w:p>
          <w:p w:rsidR="00F17FB4" w:rsidRPr="00BC5A62" w:rsidRDefault="00F17FB4" w:rsidP="006A4752">
            <w:pPr>
              <w:pStyle w:val="List"/>
              <w:spacing w:after="120"/>
              <w:ind w:left="619" w:hanging="619"/>
              <w:rPr>
                <w:rFonts w:ascii="Times New Roman" w:hAnsi="Times New Roman"/>
                <w:sz w:val="24"/>
              </w:rPr>
            </w:pPr>
            <w:r>
              <w:rPr>
                <w:rFonts w:ascii="Times New Roman" w:hAnsi="Times New Roman"/>
                <w:b/>
                <w:sz w:val="24"/>
              </w:rPr>
              <w:t xml:space="preserve">D.4.   </w:t>
            </w:r>
            <w:r w:rsidRPr="007F1776">
              <w:rPr>
                <w:rFonts w:ascii="Times New Roman" w:hAnsi="Times New Roman"/>
                <w:b/>
                <w:sz w:val="24"/>
              </w:rPr>
              <w:t xml:space="preserve">Global Planning:  </w:t>
            </w:r>
            <w:r w:rsidRPr="007F1776">
              <w:rPr>
                <w:rFonts w:ascii="Times New Roman" w:hAnsi="Times New Roman"/>
                <w:sz w:val="24"/>
              </w:rPr>
              <w:t>Develop a Total Cost of Ownership (TCO) plan that includes agreed upon standards, estimates costs for facilities operations and maintenance, costs for technology acquisition, repair and replacement cycles, custodial and stationary engineering services for all existing buildings and potential new facilities.</w:t>
            </w:r>
          </w:p>
        </w:tc>
      </w:tr>
      <w:tr w:rsidR="00F17FB4" w:rsidRPr="001D09C2" w:rsidTr="006A4752">
        <w:tc>
          <w:tcPr>
            <w:tcW w:w="2628" w:type="dxa"/>
          </w:tcPr>
          <w:p w:rsidR="00F17FB4" w:rsidRPr="001D09C2" w:rsidRDefault="00F17FB4" w:rsidP="006A4752">
            <w:pPr>
              <w:pStyle w:val="List"/>
              <w:spacing w:before="240"/>
              <w:rPr>
                <w:rFonts w:ascii="Times New Roman" w:hAnsi="Times New Roman"/>
                <w:sz w:val="24"/>
              </w:rPr>
            </w:pPr>
            <w:r w:rsidRPr="001D09C2">
              <w:rPr>
                <w:rFonts w:ascii="Times New Roman" w:hAnsi="Times New Roman"/>
                <w:b/>
                <w:sz w:val="24"/>
              </w:rPr>
              <w:lastRenderedPageBreak/>
              <w:t xml:space="preserve">E: </w:t>
            </w:r>
            <w:r w:rsidRPr="001D09C2">
              <w:rPr>
                <w:rFonts w:ascii="Times New Roman" w:hAnsi="Times New Roman"/>
                <w:b/>
                <w:sz w:val="24"/>
              </w:rPr>
              <w:tab/>
              <w:t>Develop and Manage Resources to Advance Our Mission</w:t>
            </w:r>
          </w:p>
        </w:tc>
        <w:tc>
          <w:tcPr>
            <w:tcW w:w="7560" w:type="dxa"/>
          </w:tcPr>
          <w:p w:rsidR="00F17FB4" w:rsidRDefault="00F17FB4" w:rsidP="006A4752">
            <w:pPr>
              <w:pStyle w:val="List"/>
              <w:spacing w:after="120"/>
              <w:ind w:left="619" w:hanging="619"/>
              <w:rPr>
                <w:rFonts w:ascii="Times New Roman" w:hAnsi="Times New Roman"/>
                <w:sz w:val="24"/>
              </w:rPr>
            </w:pPr>
            <w:r w:rsidRPr="001D09C2">
              <w:rPr>
                <w:rFonts w:ascii="Times New Roman" w:hAnsi="Times New Roman"/>
                <w:b/>
                <w:sz w:val="24"/>
              </w:rPr>
              <w:t>E.1</w:t>
            </w:r>
            <w:r w:rsidRPr="001D09C2">
              <w:rPr>
                <w:rFonts w:ascii="Times New Roman" w:hAnsi="Times New Roman"/>
                <w:b/>
                <w:sz w:val="24"/>
              </w:rPr>
              <w:tab/>
              <w:t>FTES</w:t>
            </w:r>
            <w:r>
              <w:rPr>
                <w:rFonts w:ascii="Times New Roman" w:hAnsi="Times New Roman"/>
                <w:b/>
                <w:sz w:val="24"/>
              </w:rPr>
              <w:t>/FTEF</w:t>
            </w:r>
            <w:r w:rsidRPr="001D09C2">
              <w:rPr>
                <w:rFonts w:ascii="Times New Roman" w:hAnsi="Times New Roman"/>
                <w:b/>
                <w:sz w:val="24"/>
              </w:rPr>
              <w:t xml:space="preserve"> Target</w:t>
            </w:r>
            <w:r w:rsidRPr="001D09C2">
              <w:rPr>
                <w:rFonts w:ascii="Times New Roman" w:hAnsi="Times New Roman"/>
                <w:sz w:val="24"/>
              </w:rPr>
              <w:t xml:space="preserve">: </w:t>
            </w:r>
            <w:r>
              <w:rPr>
                <w:rFonts w:ascii="Times New Roman" w:hAnsi="Times New Roman"/>
                <w:sz w:val="24"/>
              </w:rPr>
              <w:t>Achieve the District target FTES/FTEF within budget.</w:t>
            </w:r>
          </w:p>
          <w:p w:rsidR="00F17FB4" w:rsidRPr="00AB4112" w:rsidRDefault="00F17FB4" w:rsidP="006A4752">
            <w:pPr>
              <w:pStyle w:val="List"/>
              <w:spacing w:after="120"/>
              <w:ind w:left="619" w:hanging="619"/>
              <w:rPr>
                <w:rFonts w:ascii="Times New Roman" w:hAnsi="Times New Roman"/>
                <w:sz w:val="24"/>
              </w:rPr>
            </w:pPr>
            <w:r w:rsidRPr="001D09C2">
              <w:rPr>
                <w:rFonts w:ascii="Times New Roman" w:hAnsi="Times New Roman"/>
                <w:b/>
                <w:sz w:val="24"/>
              </w:rPr>
              <w:t>E.2</w:t>
            </w:r>
            <w:r w:rsidRPr="001D09C2">
              <w:rPr>
                <w:rFonts w:ascii="Times New Roman" w:hAnsi="Times New Roman"/>
                <w:b/>
                <w:sz w:val="24"/>
              </w:rPr>
              <w:tab/>
            </w:r>
            <w:r>
              <w:rPr>
                <w:rFonts w:ascii="Times New Roman" w:hAnsi="Times New Roman"/>
                <w:b/>
                <w:sz w:val="24"/>
              </w:rPr>
              <w:t xml:space="preserve">Budget to Improve Student Success: </w:t>
            </w:r>
            <w:r>
              <w:rPr>
                <w:rFonts w:ascii="Times New Roman" w:hAnsi="Times New Roman"/>
                <w:sz w:val="24"/>
              </w:rPr>
              <w:t>Increase alternative funding sources including, but not limited to, the Peralta Colleges F</w:t>
            </w:r>
            <w:r w:rsidRPr="00AB4112">
              <w:rPr>
                <w:rFonts w:ascii="Times New Roman" w:hAnsi="Times New Roman"/>
                <w:sz w:val="24"/>
              </w:rPr>
              <w:t>oundation, non-RES tuition</w:t>
            </w:r>
            <w:r w:rsidR="00B276AC">
              <w:rPr>
                <w:rFonts w:ascii="Times New Roman" w:hAnsi="Times New Roman"/>
                <w:sz w:val="24"/>
              </w:rPr>
              <w:t xml:space="preserve"> (with a particular focus on recruiting international students)</w:t>
            </w:r>
            <w:r w:rsidRPr="00AB4112">
              <w:rPr>
                <w:rFonts w:ascii="Times New Roman" w:hAnsi="Times New Roman"/>
                <w:sz w:val="24"/>
              </w:rPr>
              <w:t>, grants, etc.</w:t>
            </w:r>
          </w:p>
          <w:p w:rsidR="00F17FB4" w:rsidRPr="0086303F" w:rsidRDefault="00F17FB4" w:rsidP="006A4752">
            <w:pPr>
              <w:pStyle w:val="List"/>
              <w:spacing w:after="120"/>
              <w:ind w:left="619" w:hanging="619"/>
              <w:rPr>
                <w:rFonts w:ascii="Times New Roman" w:hAnsi="Times New Roman"/>
                <w:sz w:val="24"/>
              </w:rPr>
            </w:pPr>
            <w:r w:rsidRPr="001D09C2">
              <w:rPr>
                <w:rFonts w:ascii="Times New Roman" w:hAnsi="Times New Roman"/>
                <w:b/>
                <w:sz w:val="24"/>
              </w:rPr>
              <w:t>E.3</w:t>
            </w:r>
            <w:r w:rsidRPr="001D09C2">
              <w:rPr>
                <w:rFonts w:ascii="Times New Roman" w:hAnsi="Times New Roman"/>
                <w:b/>
                <w:sz w:val="24"/>
              </w:rPr>
              <w:tab/>
              <w:t xml:space="preserve">Fiscal </w:t>
            </w:r>
            <w:r>
              <w:rPr>
                <w:rFonts w:ascii="Times New Roman" w:hAnsi="Times New Roman"/>
                <w:b/>
                <w:sz w:val="24"/>
              </w:rPr>
              <w:t>Oversight</w:t>
            </w:r>
            <w:r w:rsidRPr="001D09C2">
              <w:rPr>
                <w:rFonts w:ascii="Times New Roman" w:hAnsi="Times New Roman"/>
                <w:b/>
                <w:sz w:val="24"/>
              </w:rPr>
              <w:t xml:space="preserve">: </w:t>
            </w:r>
            <w:r w:rsidRPr="007F1776">
              <w:rPr>
                <w:rFonts w:ascii="Times New Roman" w:hAnsi="Times New Roman"/>
                <w:sz w:val="24"/>
              </w:rPr>
              <w:t>Prudently manage</w:t>
            </w:r>
            <w:r w:rsidRPr="007F1776">
              <w:rPr>
                <w:rFonts w:ascii="Times New Roman" w:hAnsi="Times New Roman"/>
                <w:b/>
                <w:sz w:val="24"/>
              </w:rPr>
              <w:t xml:space="preserve"> </w:t>
            </w:r>
            <w:r w:rsidRPr="007F1776">
              <w:rPr>
                <w:rFonts w:ascii="Times New Roman" w:hAnsi="Times New Roman"/>
                <w:sz w:val="24"/>
              </w:rPr>
              <w:t>all</w:t>
            </w:r>
            <w:r w:rsidRPr="007F1776">
              <w:rPr>
                <w:rFonts w:ascii="Times New Roman" w:hAnsi="Times New Roman"/>
                <w:b/>
                <w:sz w:val="24"/>
              </w:rPr>
              <w:t xml:space="preserve"> </w:t>
            </w:r>
            <w:r w:rsidRPr="007F1776">
              <w:rPr>
                <w:rFonts w:ascii="Times New Roman" w:hAnsi="Times New Roman"/>
                <w:sz w:val="24"/>
              </w:rPr>
              <w:t>fiscal resources; general fund, bonds, benefits, OPEB), other long-term liabilities; Resolve all outstanding audit findings.</w:t>
            </w:r>
            <w:r>
              <w:rPr>
                <w:rFonts w:ascii="Times New Roman" w:hAnsi="Times New Roman"/>
                <w:sz w:val="24"/>
              </w:rPr>
              <w:t xml:space="preserve"> </w:t>
            </w:r>
          </w:p>
          <w:p w:rsidR="00F17FB4" w:rsidRPr="0086303F" w:rsidRDefault="00F17FB4" w:rsidP="006A4752">
            <w:pPr>
              <w:pStyle w:val="List"/>
              <w:spacing w:after="120"/>
              <w:ind w:left="619" w:hanging="619"/>
              <w:rPr>
                <w:rFonts w:ascii="Times New Roman" w:hAnsi="Times New Roman"/>
                <w:sz w:val="24"/>
              </w:rPr>
            </w:pPr>
            <w:r w:rsidRPr="001D09C2">
              <w:rPr>
                <w:rFonts w:ascii="Times New Roman" w:hAnsi="Times New Roman"/>
                <w:b/>
                <w:sz w:val="24"/>
              </w:rPr>
              <w:t xml:space="preserve">E.4    </w:t>
            </w:r>
            <w:r>
              <w:rPr>
                <w:rFonts w:ascii="Times New Roman" w:hAnsi="Times New Roman"/>
                <w:b/>
                <w:sz w:val="24"/>
              </w:rPr>
              <w:t xml:space="preserve">Support Quality Instruction:  </w:t>
            </w:r>
            <w:r>
              <w:rPr>
                <w:rFonts w:ascii="Times New Roman" w:hAnsi="Times New Roman"/>
                <w:sz w:val="24"/>
              </w:rPr>
              <w:t>Increase investments in materials, equipment, and teaching and learning resources to enhance student learning outcomes.</w:t>
            </w:r>
          </w:p>
        </w:tc>
      </w:tr>
    </w:tbl>
    <w:p w:rsidR="00F17FB4" w:rsidRPr="001D09C2" w:rsidRDefault="00F17FB4" w:rsidP="00F17FB4">
      <w:pPr>
        <w:rPr>
          <w:rFonts w:ascii="Times New Roman" w:hAnsi="Times New Roman"/>
          <w:sz w:val="24"/>
        </w:rPr>
      </w:pPr>
    </w:p>
    <w:p w:rsidR="004E0279" w:rsidRDefault="004E0279"/>
    <w:sectPr w:rsidR="004E0279" w:rsidSect="001F2A3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65A59">
      <w:r>
        <w:separator/>
      </w:r>
    </w:p>
  </w:endnote>
  <w:endnote w:type="continuationSeparator" w:id="0">
    <w:p w:rsidR="00000000" w:rsidRDefault="0016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3C3" w:rsidRDefault="00B276AC">
    <w:pPr>
      <w:pStyle w:val="Footer"/>
      <w:jc w:val="center"/>
    </w:pPr>
    <w:r>
      <w:fldChar w:fldCharType="begin"/>
    </w:r>
    <w:r>
      <w:instrText xml:space="preserve"> PAGE   \* MERGEFORMAT </w:instrText>
    </w:r>
    <w:r>
      <w:fldChar w:fldCharType="separate"/>
    </w:r>
    <w:r w:rsidR="00165A59">
      <w:rPr>
        <w:noProof/>
      </w:rPr>
      <w:t>1</w:t>
    </w:r>
    <w:r>
      <w:rPr>
        <w:noProof/>
      </w:rPr>
      <w:fldChar w:fldCharType="end"/>
    </w:r>
  </w:p>
  <w:p w:rsidR="001D73C3" w:rsidRDefault="00165A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65A59">
      <w:r>
        <w:separator/>
      </w:r>
    </w:p>
  </w:footnote>
  <w:footnote w:type="continuationSeparator" w:id="0">
    <w:p w:rsidR="00000000" w:rsidRDefault="00165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FB4"/>
    <w:rsid w:val="00165A59"/>
    <w:rsid w:val="004858CB"/>
    <w:rsid w:val="004E0279"/>
    <w:rsid w:val="00B276AC"/>
    <w:rsid w:val="00F1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4676D-95F2-4A06-B85E-662D2138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FB4"/>
    <w:pPr>
      <w:spacing w:after="0" w:line="240" w:lineRule="auto"/>
    </w:pPr>
    <w:rPr>
      <w:rFonts w:ascii="Verdana" w:eastAsia="Times New Roman" w:hAnsi="Verdana" w:cs="Times New Roman"/>
      <w:sz w:val="18"/>
      <w:szCs w:val="24"/>
    </w:rPr>
  </w:style>
  <w:style w:type="paragraph" w:styleId="Heading3">
    <w:name w:val="heading 3"/>
    <w:basedOn w:val="Normal"/>
    <w:next w:val="Normal"/>
    <w:link w:val="Heading3Char"/>
    <w:qFormat/>
    <w:rsid w:val="00F17FB4"/>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7FB4"/>
    <w:rPr>
      <w:rFonts w:ascii="Arial" w:eastAsia="Times New Roman" w:hAnsi="Arial" w:cs="Times New Roman"/>
      <w:b/>
      <w:sz w:val="26"/>
      <w:szCs w:val="26"/>
    </w:rPr>
  </w:style>
  <w:style w:type="paragraph" w:styleId="List">
    <w:name w:val="List"/>
    <w:basedOn w:val="Normal"/>
    <w:rsid w:val="00F17FB4"/>
    <w:pPr>
      <w:spacing w:before="120"/>
      <w:ind w:left="360" w:hanging="360"/>
    </w:pPr>
  </w:style>
  <w:style w:type="paragraph" w:styleId="Footer">
    <w:name w:val="footer"/>
    <w:basedOn w:val="Normal"/>
    <w:link w:val="FooterChar"/>
    <w:uiPriority w:val="99"/>
    <w:rsid w:val="00F17FB4"/>
    <w:pPr>
      <w:tabs>
        <w:tab w:val="center" w:pos="4680"/>
        <w:tab w:val="right" w:pos="9360"/>
      </w:tabs>
    </w:pPr>
  </w:style>
  <w:style w:type="character" w:customStyle="1" w:styleId="FooterChar">
    <w:name w:val="Footer Char"/>
    <w:basedOn w:val="DefaultParagraphFont"/>
    <w:link w:val="Footer"/>
    <w:uiPriority w:val="99"/>
    <w:rsid w:val="00F17FB4"/>
    <w:rPr>
      <w:rFonts w:ascii="Verdana" w:eastAsia="Times New Roman" w:hAnsi="Verdana" w:cs="Times New Roman"/>
      <w:sz w:val="18"/>
      <w:szCs w:val="24"/>
    </w:rPr>
  </w:style>
  <w:style w:type="paragraph" w:styleId="BalloonText">
    <w:name w:val="Balloon Text"/>
    <w:basedOn w:val="Normal"/>
    <w:link w:val="BalloonTextChar"/>
    <w:uiPriority w:val="99"/>
    <w:semiHidden/>
    <w:unhideWhenUsed/>
    <w:rsid w:val="00B276AC"/>
    <w:rPr>
      <w:rFonts w:ascii="Segoe UI" w:hAnsi="Segoe UI" w:cs="Segoe UI"/>
      <w:szCs w:val="18"/>
    </w:rPr>
  </w:style>
  <w:style w:type="character" w:customStyle="1" w:styleId="BalloonTextChar">
    <w:name w:val="Balloon Text Char"/>
    <w:basedOn w:val="DefaultParagraphFont"/>
    <w:link w:val="BalloonText"/>
    <w:uiPriority w:val="99"/>
    <w:semiHidden/>
    <w:rsid w:val="00B276A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2</cp:revision>
  <cp:lastPrinted>2015-09-04T23:04:00Z</cp:lastPrinted>
  <dcterms:created xsi:type="dcterms:W3CDTF">2015-09-08T16:05:00Z</dcterms:created>
  <dcterms:modified xsi:type="dcterms:W3CDTF">2015-09-08T16:05:00Z</dcterms:modified>
</cp:coreProperties>
</file>