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38CD" w14:textId="77777777" w:rsidR="00B85948" w:rsidRPr="00B22AFB" w:rsidRDefault="00B85948" w:rsidP="00B85948">
      <w:pPr>
        <w:jc w:val="center"/>
        <w:rPr>
          <w:rFonts w:asciiTheme="minorHAnsi" w:hAnsiTheme="minorHAnsi"/>
          <w:b/>
          <w:sz w:val="22"/>
          <w:szCs w:val="22"/>
        </w:rPr>
      </w:pPr>
      <w:r w:rsidRPr="00B22AFB">
        <w:rPr>
          <w:rFonts w:asciiTheme="minorHAnsi" w:hAnsiTheme="minorHAnsi"/>
          <w:noProof/>
        </w:rPr>
        <w:drawing>
          <wp:anchor distT="0" distB="0" distL="114300" distR="114300" simplePos="0" relativeHeight="251660288" behindDoc="0" locked="0" layoutInCell="1" allowOverlap="1" wp14:anchorId="17A74BAF" wp14:editId="080F4215">
            <wp:simplePos x="0" y="0"/>
            <wp:positionH relativeFrom="column">
              <wp:posOffset>6351270</wp:posOffset>
            </wp:positionH>
            <wp:positionV relativeFrom="paragraph">
              <wp:posOffset>5080</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7"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B22AFB">
        <w:rPr>
          <w:rFonts w:asciiTheme="minorHAnsi" w:hAnsiTheme="minorHAnsi"/>
          <w:b/>
          <w:noProof/>
          <w:sz w:val="22"/>
          <w:szCs w:val="22"/>
        </w:rPr>
        <w:drawing>
          <wp:anchor distT="0" distB="0" distL="114300" distR="114300" simplePos="0" relativeHeight="251662336" behindDoc="0" locked="0" layoutInCell="1" allowOverlap="1" wp14:anchorId="4C66DA5F" wp14:editId="20D457F0">
            <wp:simplePos x="0" y="0"/>
            <wp:positionH relativeFrom="column">
              <wp:posOffset>7336155</wp:posOffset>
            </wp:positionH>
            <wp:positionV relativeFrom="paragraph">
              <wp:posOffset>-71755</wp:posOffset>
            </wp:positionV>
            <wp:extent cx="565785" cy="733425"/>
            <wp:effectExtent l="1905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65785" cy="733425"/>
                    </a:xfrm>
                    <a:prstGeom prst="rect">
                      <a:avLst/>
                    </a:prstGeom>
                    <a:noFill/>
                  </pic:spPr>
                </pic:pic>
              </a:graphicData>
            </a:graphic>
          </wp:anchor>
        </w:drawing>
      </w:r>
      <w:r w:rsidRPr="00B22AFB">
        <w:rPr>
          <w:rFonts w:asciiTheme="minorHAnsi" w:hAnsiTheme="minorHAnsi"/>
          <w:noProof/>
        </w:rPr>
        <w:drawing>
          <wp:anchor distT="0" distB="0" distL="114300" distR="114300" simplePos="0" relativeHeight="251659264" behindDoc="0" locked="0" layoutInCell="1" allowOverlap="1" wp14:anchorId="0D3E5B79" wp14:editId="2C47D6CC">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9"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B22AFB">
        <w:rPr>
          <w:rFonts w:asciiTheme="minorHAnsi" w:hAnsiTheme="minorHAnsi"/>
          <w:b/>
          <w:noProof/>
          <w:sz w:val="22"/>
          <w:szCs w:val="22"/>
        </w:rPr>
        <w:drawing>
          <wp:anchor distT="0" distB="0" distL="114300" distR="114300" simplePos="0" relativeHeight="251661312" behindDoc="0" locked="0" layoutInCell="1" allowOverlap="1" wp14:anchorId="5B081F88" wp14:editId="61AE92EC">
            <wp:simplePos x="0" y="0"/>
            <wp:positionH relativeFrom="column">
              <wp:posOffset>1535430</wp:posOffset>
            </wp:positionH>
            <wp:positionV relativeFrom="paragraph">
              <wp:posOffset>-97155</wp:posOffset>
            </wp:positionV>
            <wp:extent cx="681990" cy="681990"/>
            <wp:effectExtent l="1905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81990" cy="681990"/>
                    </a:xfrm>
                    <a:prstGeom prst="rect">
                      <a:avLst/>
                    </a:prstGeom>
                    <a:noFill/>
                  </pic:spPr>
                </pic:pic>
              </a:graphicData>
            </a:graphic>
          </wp:anchor>
        </w:drawing>
      </w:r>
      <w:r w:rsidRPr="00B22AFB">
        <w:rPr>
          <w:rFonts w:asciiTheme="minorHAnsi" w:hAnsiTheme="minorHAnsi"/>
          <w:b/>
          <w:sz w:val="22"/>
          <w:szCs w:val="22"/>
        </w:rPr>
        <w:t>PERALTA COMMUNITY COLLEGE DISTRICT</w:t>
      </w:r>
    </w:p>
    <w:p w14:paraId="1F7CD82E" w14:textId="77777777" w:rsidR="00B85948" w:rsidRPr="00B22AFB" w:rsidRDefault="00B85948" w:rsidP="00B85948">
      <w:pPr>
        <w:jc w:val="center"/>
        <w:rPr>
          <w:rFonts w:asciiTheme="minorHAnsi" w:hAnsiTheme="minorHAnsi"/>
          <w:b/>
          <w:sz w:val="22"/>
          <w:szCs w:val="22"/>
        </w:rPr>
      </w:pPr>
      <w:r w:rsidRPr="00B22AFB">
        <w:rPr>
          <w:rFonts w:asciiTheme="minorHAnsi" w:hAnsiTheme="minorHAnsi"/>
          <w:b/>
          <w:sz w:val="22"/>
          <w:szCs w:val="22"/>
        </w:rPr>
        <w:t>District Academic Senate</w:t>
      </w:r>
    </w:p>
    <w:p w14:paraId="137E3009" w14:textId="77777777" w:rsidR="00B85948" w:rsidRDefault="00B85948" w:rsidP="00B85948">
      <w:pPr>
        <w:jc w:val="center"/>
        <w:rPr>
          <w:rFonts w:asciiTheme="minorHAnsi" w:hAnsiTheme="minorHAnsi"/>
          <w:b/>
          <w:sz w:val="22"/>
          <w:szCs w:val="22"/>
        </w:rPr>
      </w:pPr>
      <w:r w:rsidRPr="001D4D1D">
        <w:rPr>
          <w:rFonts w:asciiTheme="minorHAnsi" w:hAnsiTheme="minorHAnsi"/>
          <w:b/>
          <w:sz w:val="22"/>
          <w:szCs w:val="22"/>
        </w:rPr>
        <w:t>D</w:t>
      </w:r>
      <w:r>
        <w:rPr>
          <w:rFonts w:asciiTheme="minorHAnsi" w:hAnsiTheme="minorHAnsi"/>
          <w:b/>
          <w:sz w:val="22"/>
          <w:szCs w:val="22"/>
        </w:rPr>
        <w:t xml:space="preserve">istrict Academic Senate </w:t>
      </w:r>
      <w:r w:rsidRPr="001D4D1D">
        <w:rPr>
          <w:rFonts w:asciiTheme="minorHAnsi" w:hAnsiTheme="minorHAnsi"/>
          <w:b/>
          <w:sz w:val="22"/>
          <w:szCs w:val="22"/>
        </w:rPr>
        <w:t xml:space="preserve">Meeting </w:t>
      </w:r>
    </w:p>
    <w:p w14:paraId="6B057C25" w14:textId="063295AB" w:rsidR="00B85948" w:rsidRPr="001D4D1D" w:rsidRDefault="00FB5B6E" w:rsidP="00B85948">
      <w:pPr>
        <w:jc w:val="center"/>
        <w:rPr>
          <w:rFonts w:asciiTheme="minorHAnsi" w:hAnsiTheme="minorHAnsi"/>
          <w:b/>
          <w:sz w:val="22"/>
          <w:szCs w:val="22"/>
        </w:rPr>
      </w:pPr>
      <w:r>
        <w:rPr>
          <w:rFonts w:asciiTheme="minorHAnsi" w:hAnsiTheme="minorHAnsi"/>
          <w:b/>
          <w:sz w:val="22"/>
          <w:szCs w:val="22"/>
        </w:rPr>
        <w:t xml:space="preserve">Tuesday, </w:t>
      </w:r>
      <w:r w:rsidR="00FA6A8A">
        <w:rPr>
          <w:rFonts w:asciiTheme="minorHAnsi" w:hAnsiTheme="minorHAnsi"/>
          <w:b/>
          <w:sz w:val="22"/>
          <w:szCs w:val="22"/>
        </w:rPr>
        <w:t xml:space="preserve">March </w:t>
      </w:r>
      <w:r w:rsidR="009436FA">
        <w:rPr>
          <w:rFonts w:asciiTheme="minorHAnsi" w:hAnsiTheme="minorHAnsi"/>
          <w:b/>
          <w:sz w:val="22"/>
          <w:szCs w:val="22"/>
        </w:rPr>
        <w:t>12</w:t>
      </w:r>
      <w:r w:rsidR="00B85948">
        <w:rPr>
          <w:rFonts w:asciiTheme="minorHAnsi" w:hAnsiTheme="minorHAnsi"/>
          <w:b/>
          <w:sz w:val="22"/>
          <w:szCs w:val="22"/>
        </w:rPr>
        <w:t>, 201</w:t>
      </w:r>
      <w:r w:rsidR="00801734">
        <w:rPr>
          <w:rFonts w:asciiTheme="minorHAnsi" w:hAnsiTheme="minorHAnsi"/>
          <w:b/>
          <w:sz w:val="22"/>
          <w:szCs w:val="22"/>
        </w:rPr>
        <w:t>9</w:t>
      </w:r>
      <w:r w:rsidR="00B85948">
        <w:rPr>
          <w:rFonts w:asciiTheme="minorHAnsi" w:hAnsiTheme="minorHAnsi"/>
          <w:b/>
          <w:sz w:val="22"/>
          <w:szCs w:val="22"/>
        </w:rPr>
        <w:t>, 2:30 – 4:30 PM</w:t>
      </w:r>
    </w:p>
    <w:p w14:paraId="4C787E18" w14:textId="703DF9C9" w:rsidR="00B85948" w:rsidRPr="00B22AFB" w:rsidRDefault="009436FA" w:rsidP="00B85948">
      <w:pPr>
        <w:jc w:val="center"/>
        <w:rPr>
          <w:rFonts w:asciiTheme="minorHAnsi" w:hAnsiTheme="minorHAnsi"/>
          <w:b/>
          <w:sz w:val="22"/>
          <w:szCs w:val="22"/>
        </w:rPr>
      </w:pPr>
      <w:r>
        <w:rPr>
          <w:rFonts w:asciiTheme="minorHAnsi" w:hAnsiTheme="minorHAnsi"/>
          <w:b/>
          <w:sz w:val="22"/>
          <w:szCs w:val="22"/>
        </w:rPr>
        <w:t>General Services Conference Room</w:t>
      </w:r>
    </w:p>
    <w:p w14:paraId="458A32DD" w14:textId="77777777" w:rsidR="00B85948" w:rsidRPr="00B22AFB" w:rsidRDefault="00B85948" w:rsidP="00B85948">
      <w:pPr>
        <w:jc w:val="center"/>
        <w:rPr>
          <w:rFonts w:asciiTheme="minorHAnsi" w:hAnsiTheme="minorHAnsi"/>
          <w:b/>
          <w:sz w:val="22"/>
          <w:szCs w:val="22"/>
        </w:rPr>
      </w:pPr>
    </w:p>
    <w:p w14:paraId="61CE2173" w14:textId="77777777" w:rsidR="00B85948" w:rsidRPr="00B22AFB" w:rsidRDefault="00B85948" w:rsidP="00B85948">
      <w:pPr>
        <w:jc w:val="center"/>
        <w:rPr>
          <w:rFonts w:asciiTheme="minorHAnsi" w:hAnsiTheme="minorHAnsi"/>
          <w:b/>
          <w:sz w:val="22"/>
          <w:szCs w:val="22"/>
        </w:rPr>
      </w:pPr>
    </w:p>
    <w:p w14:paraId="3BE61876" w14:textId="77C307FA" w:rsidR="008D1288" w:rsidRDefault="00B85948" w:rsidP="00B85948">
      <w:pPr>
        <w:rPr>
          <w:rFonts w:asciiTheme="minorHAnsi" w:hAnsiTheme="minorHAnsi"/>
          <w:b/>
          <w:sz w:val="22"/>
          <w:szCs w:val="22"/>
        </w:rPr>
      </w:pPr>
      <w:r w:rsidRPr="00B22AFB">
        <w:rPr>
          <w:rFonts w:asciiTheme="minorHAnsi" w:hAnsiTheme="minorHAnsi"/>
          <w:b/>
          <w:sz w:val="22"/>
          <w:szCs w:val="22"/>
        </w:rPr>
        <w:t>Present:</w:t>
      </w:r>
      <w:r w:rsidR="008D1288">
        <w:rPr>
          <w:rFonts w:asciiTheme="minorHAnsi" w:hAnsiTheme="minorHAnsi"/>
          <w:b/>
          <w:sz w:val="22"/>
          <w:szCs w:val="22"/>
        </w:rPr>
        <w:t xml:space="preserve"> Donald </w:t>
      </w:r>
      <w:r w:rsidR="00F4271A">
        <w:rPr>
          <w:rFonts w:asciiTheme="minorHAnsi" w:hAnsiTheme="minorHAnsi"/>
          <w:b/>
          <w:sz w:val="22"/>
          <w:szCs w:val="22"/>
        </w:rPr>
        <w:t xml:space="preserve">Moore (President), </w:t>
      </w:r>
      <w:r w:rsidR="0039074D">
        <w:rPr>
          <w:rFonts w:asciiTheme="minorHAnsi" w:hAnsiTheme="minorHAnsi"/>
          <w:b/>
          <w:sz w:val="22"/>
          <w:szCs w:val="22"/>
        </w:rPr>
        <w:t xml:space="preserve">Kelly Pernell (Vice President); </w:t>
      </w:r>
      <w:r w:rsidR="009436FA">
        <w:rPr>
          <w:rFonts w:asciiTheme="minorHAnsi" w:hAnsiTheme="minorHAnsi"/>
          <w:b/>
          <w:sz w:val="22"/>
          <w:szCs w:val="22"/>
        </w:rPr>
        <w:t xml:space="preserve">Mario Rivas (Secretary); </w:t>
      </w:r>
      <w:r w:rsidR="0039074D">
        <w:rPr>
          <w:rFonts w:asciiTheme="minorHAnsi" w:hAnsiTheme="minorHAnsi"/>
          <w:b/>
          <w:sz w:val="22"/>
          <w:szCs w:val="22"/>
        </w:rPr>
        <w:t xml:space="preserve">Fred Bourgoin </w:t>
      </w:r>
      <w:r w:rsidR="009436FA">
        <w:rPr>
          <w:rFonts w:asciiTheme="minorHAnsi" w:hAnsiTheme="minorHAnsi"/>
          <w:b/>
          <w:sz w:val="22"/>
          <w:szCs w:val="22"/>
        </w:rPr>
        <w:t>(</w:t>
      </w:r>
      <w:r w:rsidR="00F4271A">
        <w:rPr>
          <w:rFonts w:asciiTheme="minorHAnsi" w:hAnsiTheme="minorHAnsi"/>
          <w:b/>
          <w:sz w:val="22"/>
          <w:szCs w:val="22"/>
        </w:rPr>
        <w:t xml:space="preserve"> Laney</w:t>
      </w:r>
      <w:r w:rsidR="009436FA">
        <w:rPr>
          <w:rFonts w:asciiTheme="minorHAnsi" w:hAnsiTheme="minorHAnsi"/>
          <w:b/>
          <w:sz w:val="22"/>
          <w:szCs w:val="22"/>
        </w:rPr>
        <w:t>)</w:t>
      </w:r>
      <w:r w:rsidR="00F4271A">
        <w:rPr>
          <w:rFonts w:asciiTheme="minorHAnsi" w:hAnsiTheme="minorHAnsi"/>
          <w:b/>
          <w:sz w:val="22"/>
          <w:szCs w:val="22"/>
        </w:rPr>
        <w:t xml:space="preserve">; </w:t>
      </w:r>
      <w:r>
        <w:rPr>
          <w:rFonts w:asciiTheme="minorHAnsi" w:hAnsiTheme="minorHAnsi"/>
          <w:b/>
          <w:sz w:val="22"/>
          <w:szCs w:val="22"/>
        </w:rPr>
        <w:t>Jo</w:t>
      </w:r>
      <w:r w:rsidR="00F4271A">
        <w:rPr>
          <w:rFonts w:asciiTheme="minorHAnsi" w:hAnsiTheme="minorHAnsi"/>
          <w:b/>
          <w:sz w:val="22"/>
          <w:szCs w:val="22"/>
        </w:rPr>
        <w:t xml:space="preserve">seph Bielanski (BCC); </w:t>
      </w:r>
      <w:r w:rsidR="008D1288">
        <w:rPr>
          <w:rFonts w:asciiTheme="minorHAnsi" w:hAnsiTheme="minorHAnsi"/>
          <w:b/>
          <w:sz w:val="22"/>
          <w:szCs w:val="22"/>
        </w:rPr>
        <w:t xml:space="preserve"> </w:t>
      </w:r>
      <w:r w:rsidR="00F731EC">
        <w:rPr>
          <w:rFonts w:asciiTheme="minorHAnsi" w:hAnsiTheme="minorHAnsi"/>
          <w:b/>
          <w:sz w:val="22"/>
          <w:szCs w:val="22"/>
        </w:rPr>
        <w:t>Blake Johnson (Laney)</w:t>
      </w:r>
      <w:r w:rsidR="00A7564E">
        <w:rPr>
          <w:rFonts w:asciiTheme="minorHAnsi" w:hAnsiTheme="minorHAnsi"/>
          <w:b/>
          <w:sz w:val="22"/>
          <w:szCs w:val="22"/>
        </w:rPr>
        <w:t xml:space="preserve">; </w:t>
      </w:r>
      <w:r w:rsidR="008D1288">
        <w:rPr>
          <w:rFonts w:asciiTheme="minorHAnsi" w:hAnsiTheme="minorHAnsi"/>
          <w:b/>
          <w:sz w:val="22"/>
          <w:szCs w:val="22"/>
        </w:rPr>
        <w:t>Thomas Renbarger (Merritt)</w:t>
      </w:r>
      <w:r w:rsidR="00557979">
        <w:rPr>
          <w:rFonts w:asciiTheme="minorHAnsi" w:hAnsiTheme="minorHAnsi"/>
          <w:b/>
          <w:sz w:val="22"/>
          <w:szCs w:val="22"/>
        </w:rPr>
        <w:t>;</w:t>
      </w:r>
      <w:r w:rsidR="00FA6A8A">
        <w:rPr>
          <w:rFonts w:asciiTheme="minorHAnsi" w:hAnsiTheme="minorHAnsi"/>
          <w:b/>
          <w:sz w:val="22"/>
          <w:szCs w:val="22"/>
        </w:rPr>
        <w:t xml:space="preserve"> Andrew </w:t>
      </w:r>
      <w:r w:rsidR="00557979">
        <w:rPr>
          <w:rFonts w:asciiTheme="minorHAnsi" w:hAnsiTheme="minorHAnsi"/>
          <w:b/>
          <w:sz w:val="22"/>
          <w:szCs w:val="22"/>
        </w:rPr>
        <w:t xml:space="preserve">Park, </w:t>
      </w:r>
      <w:r w:rsidR="00FA6A8A">
        <w:rPr>
          <w:rFonts w:asciiTheme="minorHAnsi" w:hAnsiTheme="minorHAnsi"/>
          <w:b/>
          <w:sz w:val="22"/>
          <w:szCs w:val="22"/>
        </w:rPr>
        <w:t>(</w:t>
      </w:r>
      <w:r w:rsidR="00557979">
        <w:rPr>
          <w:rFonts w:asciiTheme="minorHAnsi" w:hAnsiTheme="minorHAnsi"/>
          <w:b/>
          <w:sz w:val="22"/>
          <w:szCs w:val="22"/>
        </w:rPr>
        <w:t>Alameda</w:t>
      </w:r>
      <w:r w:rsidR="00FA6A8A">
        <w:rPr>
          <w:rFonts w:asciiTheme="minorHAnsi" w:hAnsiTheme="minorHAnsi"/>
          <w:b/>
          <w:sz w:val="22"/>
          <w:szCs w:val="22"/>
        </w:rPr>
        <w:t>); Eleni Gastis, (Laney); Maurice Jones, (Alameda)</w:t>
      </w:r>
      <w:r w:rsidR="009436FA">
        <w:rPr>
          <w:rFonts w:asciiTheme="minorHAnsi" w:hAnsiTheme="minorHAnsi"/>
          <w:b/>
          <w:sz w:val="22"/>
          <w:szCs w:val="22"/>
        </w:rPr>
        <w:t>; Mary Ciddio (Merritt)</w:t>
      </w:r>
      <w:r w:rsidR="00FA6A8A">
        <w:rPr>
          <w:rFonts w:asciiTheme="minorHAnsi" w:hAnsiTheme="minorHAnsi"/>
          <w:b/>
          <w:sz w:val="22"/>
          <w:szCs w:val="22"/>
        </w:rPr>
        <w:t>.</w:t>
      </w:r>
    </w:p>
    <w:p w14:paraId="0A415A40" w14:textId="082FF889" w:rsidR="004037E5" w:rsidRDefault="004037E5" w:rsidP="00B85948">
      <w:pPr>
        <w:rPr>
          <w:rFonts w:asciiTheme="minorHAnsi" w:hAnsiTheme="minorHAnsi"/>
          <w:b/>
          <w:sz w:val="22"/>
          <w:szCs w:val="22"/>
        </w:rPr>
      </w:pPr>
    </w:p>
    <w:p w14:paraId="335E447C" w14:textId="64B8083B" w:rsidR="004037E5" w:rsidRPr="00B22AFB" w:rsidRDefault="004037E5" w:rsidP="00B85948">
      <w:pPr>
        <w:rPr>
          <w:rFonts w:asciiTheme="minorHAnsi" w:hAnsiTheme="minorHAnsi"/>
          <w:b/>
          <w:sz w:val="22"/>
          <w:szCs w:val="22"/>
        </w:rPr>
      </w:pPr>
      <w:r>
        <w:rPr>
          <w:rFonts w:asciiTheme="minorHAnsi" w:hAnsiTheme="minorHAnsi"/>
          <w:b/>
          <w:sz w:val="22"/>
          <w:szCs w:val="22"/>
        </w:rPr>
        <w:t xml:space="preserve">Absent: Rochelle Olive (Alameda); </w:t>
      </w:r>
      <w:r w:rsidR="001A3C09">
        <w:rPr>
          <w:rFonts w:asciiTheme="minorHAnsi" w:hAnsiTheme="minorHAnsi"/>
          <w:b/>
          <w:sz w:val="22"/>
          <w:szCs w:val="22"/>
        </w:rPr>
        <w:t>Catherine Nichols (BCC).</w:t>
      </w:r>
    </w:p>
    <w:p w14:paraId="05453EFD" w14:textId="77777777" w:rsidR="00B85948" w:rsidRPr="00B22AFB" w:rsidRDefault="00B85948" w:rsidP="00B85948">
      <w:pPr>
        <w:tabs>
          <w:tab w:val="left" w:pos="720"/>
          <w:tab w:val="left" w:pos="1440"/>
        </w:tabs>
        <w:rPr>
          <w:rFonts w:asciiTheme="minorHAnsi" w:hAnsiTheme="minorHAnsi"/>
          <w:b/>
          <w:sz w:val="22"/>
          <w:szCs w:val="22"/>
        </w:rPr>
      </w:pPr>
    </w:p>
    <w:p w14:paraId="4C8E1466" w14:textId="4827EDCF" w:rsidR="00B85948" w:rsidRPr="00B50038" w:rsidRDefault="00B85948" w:rsidP="00B85948">
      <w:pPr>
        <w:framePr w:hSpace="180" w:wrap="around" w:vAnchor="text" w:hAnchor="text" w:y="1"/>
        <w:tabs>
          <w:tab w:val="left" w:pos="720"/>
          <w:tab w:val="left" w:pos="1440"/>
        </w:tabs>
        <w:ind w:left="1440" w:hanging="1440"/>
        <w:suppressOverlap/>
        <w:rPr>
          <w:rFonts w:asciiTheme="minorHAnsi" w:hAnsiTheme="minorHAnsi"/>
          <w:sz w:val="22"/>
          <w:szCs w:val="22"/>
        </w:rPr>
      </w:pPr>
      <w:r w:rsidRPr="00B22AFB">
        <w:rPr>
          <w:rFonts w:asciiTheme="minorHAnsi" w:hAnsiTheme="minorHAnsi"/>
          <w:b/>
          <w:sz w:val="22"/>
          <w:szCs w:val="22"/>
        </w:rPr>
        <w:t>Absent:</w:t>
      </w:r>
      <w:r w:rsidRPr="00B22AFB">
        <w:rPr>
          <w:rFonts w:asciiTheme="minorHAnsi" w:hAnsiTheme="minorHAnsi"/>
          <w:b/>
          <w:sz w:val="22"/>
          <w:szCs w:val="22"/>
        </w:rPr>
        <w:tab/>
      </w:r>
      <w:r w:rsidR="00787B5B">
        <w:rPr>
          <w:rFonts w:asciiTheme="minorHAnsi" w:hAnsiTheme="minorHAnsi"/>
          <w:b/>
          <w:sz w:val="22"/>
          <w:szCs w:val="22"/>
        </w:rPr>
        <w:t>Rochelle Olive</w:t>
      </w:r>
      <w:r w:rsidR="009436FA">
        <w:rPr>
          <w:rFonts w:asciiTheme="minorHAnsi" w:hAnsiTheme="minorHAnsi"/>
          <w:b/>
          <w:sz w:val="22"/>
          <w:szCs w:val="22"/>
        </w:rPr>
        <w:t>(Alameda)</w:t>
      </w:r>
      <w:r w:rsidR="00787B5B">
        <w:rPr>
          <w:rFonts w:asciiTheme="minorHAnsi" w:hAnsiTheme="minorHAnsi"/>
          <w:b/>
          <w:sz w:val="22"/>
          <w:szCs w:val="22"/>
        </w:rPr>
        <w:t>;</w:t>
      </w:r>
      <w:r w:rsidR="00F4271A">
        <w:rPr>
          <w:rFonts w:asciiTheme="minorHAnsi" w:hAnsiTheme="minorHAnsi"/>
          <w:b/>
          <w:sz w:val="22"/>
          <w:szCs w:val="22"/>
        </w:rPr>
        <w:t xml:space="preserve"> Catherine Nicholls</w:t>
      </w:r>
      <w:r>
        <w:rPr>
          <w:rFonts w:asciiTheme="minorHAnsi" w:hAnsiTheme="minorHAnsi"/>
          <w:b/>
          <w:sz w:val="22"/>
          <w:szCs w:val="22"/>
        </w:rPr>
        <w:t xml:space="preserve"> </w:t>
      </w:r>
      <w:r w:rsidR="009436FA">
        <w:rPr>
          <w:rFonts w:asciiTheme="minorHAnsi" w:hAnsiTheme="minorHAnsi"/>
          <w:b/>
          <w:sz w:val="22"/>
          <w:szCs w:val="22"/>
        </w:rPr>
        <w:t>(BCC)</w:t>
      </w:r>
    </w:p>
    <w:p w14:paraId="01B17882" w14:textId="7F14D0DF" w:rsidR="00B85948" w:rsidRPr="00B63972" w:rsidRDefault="00B85948" w:rsidP="00B85948">
      <w:pPr>
        <w:framePr w:hSpace="180" w:wrap="around" w:vAnchor="text" w:hAnchor="text" w:y="1"/>
        <w:tabs>
          <w:tab w:val="left" w:pos="720"/>
          <w:tab w:val="left" w:pos="1440"/>
        </w:tabs>
        <w:ind w:left="1440" w:hanging="1440"/>
        <w:suppressOverlap/>
        <w:rPr>
          <w:rFonts w:asciiTheme="minorHAnsi" w:hAnsiTheme="minorHAnsi"/>
          <w:sz w:val="22"/>
          <w:szCs w:val="22"/>
        </w:rPr>
      </w:pPr>
      <w:r w:rsidRPr="00B22AFB">
        <w:rPr>
          <w:rFonts w:asciiTheme="minorHAnsi" w:hAnsiTheme="minorHAnsi"/>
          <w:b/>
          <w:sz w:val="22"/>
          <w:szCs w:val="22"/>
        </w:rPr>
        <w:t xml:space="preserve">Guest(s): </w:t>
      </w:r>
      <w:r w:rsidR="00F4271A">
        <w:rPr>
          <w:rFonts w:asciiTheme="minorHAnsi" w:hAnsiTheme="minorHAnsi"/>
          <w:b/>
          <w:sz w:val="22"/>
          <w:szCs w:val="22"/>
        </w:rPr>
        <w:t xml:space="preserve"> </w:t>
      </w:r>
      <w:r w:rsidR="00F4271A">
        <w:rPr>
          <w:rFonts w:asciiTheme="minorHAnsi" w:hAnsiTheme="minorHAnsi"/>
          <w:b/>
          <w:sz w:val="22"/>
          <w:szCs w:val="22"/>
        </w:rPr>
        <w:tab/>
      </w:r>
      <w:r w:rsidR="009436FA">
        <w:rPr>
          <w:rFonts w:asciiTheme="minorHAnsi" w:hAnsiTheme="minorHAnsi"/>
          <w:b/>
          <w:sz w:val="22"/>
          <w:szCs w:val="22"/>
        </w:rPr>
        <w:t>None</w:t>
      </w:r>
    </w:p>
    <w:tbl>
      <w:tblPr>
        <w:tblpPr w:leftFromText="180" w:rightFromText="180" w:vertAnchor="text" w:tblpY="1"/>
        <w:tblOverlap w:val="neve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5"/>
        <w:gridCol w:w="4834"/>
        <w:gridCol w:w="2731"/>
      </w:tblGrid>
      <w:tr w:rsidR="0015245B" w:rsidRPr="00B22AFB" w14:paraId="7F1ECA74" w14:textId="77777777" w:rsidTr="00AD0DF0">
        <w:trPr>
          <w:trHeight w:val="566"/>
        </w:trPr>
        <w:tc>
          <w:tcPr>
            <w:tcW w:w="6835" w:type="dxa"/>
            <w:shd w:val="clear" w:color="auto" w:fill="D9D9D9" w:themeFill="background1" w:themeFillShade="D9"/>
          </w:tcPr>
          <w:p w14:paraId="1068B27A" w14:textId="77777777" w:rsidR="00512955" w:rsidRDefault="00B85948" w:rsidP="00D34197">
            <w:pPr>
              <w:jc w:val="center"/>
              <w:rPr>
                <w:rFonts w:asciiTheme="minorHAnsi" w:hAnsiTheme="minorHAnsi"/>
                <w:b/>
                <w:sz w:val="22"/>
                <w:szCs w:val="22"/>
              </w:rPr>
            </w:pPr>
            <w:r w:rsidRPr="00B22AFB">
              <w:rPr>
                <w:rFonts w:asciiTheme="minorHAnsi" w:hAnsiTheme="minorHAnsi"/>
                <w:b/>
                <w:sz w:val="22"/>
                <w:szCs w:val="22"/>
              </w:rPr>
              <w:t>AGENDA ITEM</w:t>
            </w:r>
          </w:p>
          <w:p w14:paraId="1B939BFC" w14:textId="77777777" w:rsidR="00B85948" w:rsidRPr="00512955" w:rsidRDefault="00512955" w:rsidP="00512955">
            <w:pPr>
              <w:tabs>
                <w:tab w:val="left" w:pos="3810"/>
              </w:tabs>
              <w:rPr>
                <w:rFonts w:asciiTheme="minorHAnsi" w:hAnsiTheme="minorHAnsi"/>
                <w:sz w:val="22"/>
                <w:szCs w:val="22"/>
              </w:rPr>
            </w:pPr>
            <w:r>
              <w:rPr>
                <w:rFonts w:asciiTheme="minorHAnsi" w:hAnsiTheme="minorHAnsi"/>
                <w:sz w:val="22"/>
                <w:szCs w:val="22"/>
              </w:rPr>
              <w:tab/>
            </w:r>
          </w:p>
        </w:tc>
        <w:tc>
          <w:tcPr>
            <w:tcW w:w="4834" w:type="dxa"/>
            <w:shd w:val="clear" w:color="auto" w:fill="D9D9D9" w:themeFill="background1" w:themeFillShade="D9"/>
          </w:tcPr>
          <w:p w14:paraId="08D3DCBB" w14:textId="77777777" w:rsidR="00B85948" w:rsidRPr="00B22AFB" w:rsidRDefault="00B85948" w:rsidP="00D34197">
            <w:pPr>
              <w:jc w:val="center"/>
              <w:rPr>
                <w:rFonts w:asciiTheme="minorHAnsi" w:hAnsiTheme="minorHAnsi"/>
                <w:b/>
                <w:sz w:val="22"/>
                <w:szCs w:val="22"/>
              </w:rPr>
            </w:pPr>
            <w:r w:rsidRPr="00B22AFB">
              <w:rPr>
                <w:rFonts w:asciiTheme="minorHAnsi" w:hAnsiTheme="minorHAnsi"/>
                <w:b/>
                <w:sz w:val="22"/>
                <w:szCs w:val="22"/>
              </w:rPr>
              <w:t>SUMMARY OF DISCUSSION</w:t>
            </w:r>
          </w:p>
        </w:tc>
        <w:tc>
          <w:tcPr>
            <w:tcW w:w="2731" w:type="dxa"/>
            <w:shd w:val="clear" w:color="auto" w:fill="D9D9D9" w:themeFill="background1" w:themeFillShade="D9"/>
          </w:tcPr>
          <w:p w14:paraId="42C79EAA" w14:textId="77777777" w:rsidR="00B85948" w:rsidRPr="00B22AFB" w:rsidRDefault="00B85948" w:rsidP="00D34197">
            <w:pPr>
              <w:jc w:val="center"/>
              <w:rPr>
                <w:rFonts w:asciiTheme="minorHAnsi" w:hAnsiTheme="minorHAnsi"/>
                <w:b/>
                <w:sz w:val="22"/>
                <w:szCs w:val="22"/>
              </w:rPr>
            </w:pPr>
            <w:r w:rsidRPr="00B22AFB">
              <w:rPr>
                <w:rFonts w:asciiTheme="minorHAnsi" w:hAnsiTheme="minorHAnsi"/>
                <w:b/>
                <w:sz w:val="22"/>
                <w:szCs w:val="22"/>
              </w:rPr>
              <w:t>FOLLOW UP ACTION</w:t>
            </w:r>
          </w:p>
        </w:tc>
      </w:tr>
      <w:tr w:rsidR="0015245B" w:rsidRPr="00B22AFB" w14:paraId="5168DC90" w14:textId="77777777" w:rsidTr="00AD0DF0">
        <w:tc>
          <w:tcPr>
            <w:tcW w:w="6835" w:type="dxa"/>
          </w:tcPr>
          <w:p w14:paraId="0D5772A2" w14:textId="61FBAE8E" w:rsidR="00042D43" w:rsidRDefault="00042D43" w:rsidP="00042D43">
            <w:pPr>
              <w:widowControl/>
              <w:autoSpaceDE/>
              <w:autoSpaceDN/>
              <w:adjustRightInd/>
              <w:rPr>
                <w:b/>
                <w:sz w:val="18"/>
              </w:rPr>
            </w:pPr>
          </w:p>
          <w:p w14:paraId="0F646E5B" w14:textId="1AEA5AB3" w:rsidR="00042D43" w:rsidRDefault="00042D43" w:rsidP="00042D43">
            <w:pPr>
              <w:widowControl/>
              <w:autoSpaceDE/>
              <w:autoSpaceDN/>
              <w:adjustRightInd/>
              <w:rPr>
                <w:b/>
                <w:sz w:val="18"/>
              </w:rPr>
            </w:pPr>
          </w:p>
          <w:p w14:paraId="2BA63D00" w14:textId="237EF6C7" w:rsidR="00042D43" w:rsidRDefault="00042D43" w:rsidP="00042D43">
            <w:pPr>
              <w:widowControl/>
              <w:autoSpaceDE/>
              <w:autoSpaceDN/>
              <w:adjustRightInd/>
              <w:rPr>
                <w:b/>
                <w:sz w:val="18"/>
              </w:rPr>
            </w:pPr>
          </w:p>
          <w:p w14:paraId="15CDE905" w14:textId="45D4D6CE" w:rsidR="00042D43" w:rsidRPr="009436FA" w:rsidRDefault="00042D43" w:rsidP="00042D43">
            <w:pPr>
              <w:widowControl/>
              <w:numPr>
                <w:ilvl w:val="0"/>
                <w:numId w:val="3"/>
              </w:numPr>
              <w:tabs>
                <w:tab w:val="num" w:pos="720"/>
              </w:tabs>
              <w:autoSpaceDE/>
              <w:autoSpaceDN/>
              <w:adjustRightInd/>
              <w:ind w:left="720"/>
              <w:rPr>
                <w:b/>
                <w:sz w:val="24"/>
                <w:szCs w:val="24"/>
              </w:rPr>
            </w:pPr>
            <w:r w:rsidRPr="009436FA">
              <w:rPr>
                <w:b/>
                <w:sz w:val="24"/>
                <w:szCs w:val="24"/>
              </w:rPr>
              <w:t>Call to Order:  Agenda Review</w:t>
            </w:r>
          </w:p>
          <w:p w14:paraId="177115AC" w14:textId="144F2A60" w:rsidR="00042D43" w:rsidRPr="009436FA" w:rsidRDefault="00042D43" w:rsidP="00042D43">
            <w:pPr>
              <w:widowControl/>
              <w:numPr>
                <w:ilvl w:val="0"/>
                <w:numId w:val="3"/>
              </w:numPr>
              <w:tabs>
                <w:tab w:val="num" w:pos="720"/>
              </w:tabs>
              <w:autoSpaceDE/>
              <w:autoSpaceDN/>
              <w:adjustRightInd/>
              <w:spacing w:before="120"/>
              <w:ind w:left="720"/>
              <w:rPr>
                <w:sz w:val="24"/>
                <w:szCs w:val="24"/>
              </w:rPr>
            </w:pPr>
            <w:r w:rsidRPr="009436FA">
              <w:rPr>
                <w:b/>
                <w:i/>
                <w:sz w:val="24"/>
                <w:szCs w:val="24"/>
              </w:rPr>
              <w:t>Standing Items</w:t>
            </w:r>
            <w:r w:rsidRPr="009436FA">
              <w:rPr>
                <w:sz w:val="24"/>
                <w:szCs w:val="24"/>
              </w:rPr>
              <w:t>:</w:t>
            </w:r>
            <w:r w:rsidR="009436FA">
              <w:rPr>
                <w:sz w:val="24"/>
                <w:szCs w:val="24"/>
              </w:rPr>
              <w:t xml:space="preserve">  </w:t>
            </w:r>
            <w:r w:rsidR="009436FA" w:rsidRPr="009436FA">
              <w:rPr>
                <w:sz w:val="24"/>
                <w:szCs w:val="24"/>
              </w:rPr>
              <w:t>n/a</w:t>
            </w:r>
          </w:p>
          <w:p w14:paraId="68592B71" w14:textId="77777777" w:rsidR="00042D43" w:rsidRPr="009436FA" w:rsidRDefault="00042D43" w:rsidP="00042D43">
            <w:pPr>
              <w:ind w:left="1080"/>
              <w:rPr>
                <w:sz w:val="24"/>
                <w:szCs w:val="24"/>
              </w:rPr>
            </w:pPr>
          </w:p>
          <w:p w14:paraId="3FE48496" w14:textId="77777777" w:rsidR="00042D43" w:rsidRPr="009436FA" w:rsidRDefault="00042D43" w:rsidP="00042D43">
            <w:pPr>
              <w:widowControl/>
              <w:numPr>
                <w:ilvl w:val="0"/>
                <w:numId w:val="3"/>
              </w:numPr>
              <w:tabs>
                <w:tab w:val="num" w:pos="720"/>
              </w:tabs>
              <w:autoSpaceDE/>
              <w:autoSpaceDN/>
              <w:adjustRightInd/>
              <w:ind w:left="720"/>
              <w:contextualSpacing/>
              <w:rPr>
                <w:i/>
                <w:sz w:val="24"/>
                <w:szCs w:val="24"/>
              </w:rPr>
            </w:pPr>
            <w:r w:rsidRPr="009436FA">
              <w:rPr>
                <w:b/>
                <w:i/>
                <w:sz w:val="24"/>
                <w:szCs w:val="24"/>
              </w:rPr>
              <w:t xml:space="preserve">For Discussion and/or Information: </w:t>
            </w:r>
            <w:r w:rsidRPr="009436FA">
              <w:rPr>
                <w:sz w:val="24"/>
                <w:szCs w:val="24"/>
              </w:rPr>
              <w:t>(60 min)</w:t>
            </w:r>
          </w:p>
          <w:p w14:paraId="3CBF55F8" w14:textId="77777777" w:rsidR="00042D43" w:rsidRPr="009436FA" w:rsidRDefault="00042D43" w:rsidP="00042D43">
            <w:pPr>
              <w:ind w:left="1440"/>
              <w:contextualSpacing/>
              <w:rPr>
                <w:sz w:val="24"/>
                <w:szCs w:val="24"/>
              </w:rPr>
            </w:pPr>
            <w:r w:rsidRPr="009436FA">
              <w:rPr>
                <w:sz w:val="24"/>
                <w:szCs w:val="24"/>
              </w:rPr>
              <w:t>Draft 5-year Fiscal Plan Issues:</w:t>
            </w:r>
          </w:p>
          <w:p w14:paraId="1351DF04" w14:textId="77777777" w:rsidR="00042D43" w:rsidRPr="009436FA" w:rsidRDefault="00042D43" w:rsidP="00042D43">
            <w:pPr>
              <w:widowControl/>
              <w:numPr>
                <w:ilvl w:val="3"/>
                <w:numId w:val="3"/>
              </w:numPr>
              <w:autoSpaceDE/>
              <w:autoSpaceDN/>
              <w:adjustRightInd/>
              <w:contextualSpacing/>
              <w:rPr>
                <w:sz w:val="24"/>
                <w:szCs w:val="24"/>
              </w:rPr>
            </w:pPr>
            <w:r w:rsidRPr="009436FA">
              <w:rPr>
                <w:sz w:val="24"/>
                <w:szCs w:val="24"/>
              </w:rPr>
              <w:t xml:space="preserve">$6.9 million proposed target cuts in 2019-20. With an additional 5.5 million cut in 2023-2024. </w:t>
            </w:r>
          </w:p>
          <w:p w14:paraId="46E560B6" w14:textId="77777777" w:rsidR="00042D43" w:rsidRPr="009436FA" w:rsidRDefault="00042D43" w:rsidP="00042D43">
            <w:pPr>
              <w:widowControl/>
              <w:numPr>
                <w:ilvl w:val="3"/>
                <w:numId w:val="3"/>
              </w:numPr>
              <w:autoSpaceDE/>
              <w:autoSpaceDN/>
              <w:adjustRightInd/>
              <w:contextualSpacing/>
              <w:rPr>
                <w:sz w:val="24"/>
                <w:szCs w:val="24"/>
              </w:rPr>
            </w:pPr>
            <w:r w:rsidRPr="009436FA">
              <w:rPr>
                <w:sz w:val="24"/>
                <w:szCs w:val="24"/>
              </w:rPr>
              <w:t xml:space="preserve">At least 10% Reserve starting next year. </w:t>
            </w:r>
          </w:p>
          <w:p w14:paraId="68BC1229" w14:textId="77777777" w:rsidR="00042D43" w:rsidRPr="009436FA" w:rsidRDefault="00042D43" w:rsidP="00042D43">
            <w:pPr>
              <w:widowControl/>
              <w:numPr>
                <w:ilvl w:val="3"/>
                <w:numId w:val="3"/>
              </w:numPr>
              <w:autoSpaceDE/>
              <w:autoSpaceDN/>
              <w:adjustRightInd/>
              <w:contextualSpacing/>
              <w:rPr>
                <w:sz w:val="24"/>
                <w:szCs w:val="24"/>
              </w:rPr>
            </w:pPr>
            <w:r w:rsidRPr="009436FA">
              <w:rPr>
                <w:sz w:val="24"/>
                <w:szCs w:val="24"/>
              </w:rPr>
              <w:t>PBC to discuss and recommend budget cut allocations to colleges and district</w:t>
            </w:r>
          </w:p>
          <w:p w14:paraId="1211AC41" w14:textId="77777777" w:rsidR="00042D43" w:rsidRPr="009436FA" w:rsidRDefault="00042D43" w:rsidP="00042D43">
            <w:pPr>
              <w:widowControl/>
              <w:numPr>
                <w:ilvl w:val="3"/>
                <w:numId w:val="3"/>
              </w:numPr>
              <w:autoSpaceDE/>
              <w:autoSpaceDN/>
              <w:adjustRightInd/>
              <w:contextualSpacing/>
              <w:rPr>
                <w:sz w:val="24"/>
                <w:szCs w:val="24"/>
              </w:rPr>
            </w:pPr>
            <w:r w:rsidRPr="009436FA">
              <w:rPr>
                <w:sz w:val="24"/>
                <w:szCs w:val="24"/>
              </w:rPr>
              <w:t xml:space="preserve">Joint PBC/BAM to decide on what categories are fixed that need to be allocated first </w:t>
            </w:r>
          </w:p>
          <w:p w14:paraId="4B09E8AB" w14:textId="77777777" w:rsidR="00042D43" w:rsidRPr="009436FA" w:rsidRDefault="00042D43" w:rsidP="00042D43">
            <w:pPr>
              <w:widowControl/>
              <w:numPr>
                <w:ilvl w:val="3"/>
                <w:numId w:val="3"/>
              </w:numPr>
              <w:autoSpaceDE/>
              <w:autoSpaceDN/>
              <w:adjustRightInd/>
              <w:contextualSpacing/>
              <w:rPr>
                <w:sz w:val="24"/>
                <w:szCs w:val="24"/>
              </w:rPr>
            </w:pPr>
            <w:r w:rsidRPr="009436FA">
              <w:rPr>
                <w:sz w:val="24"/>
                <w:szCs w:val="24"/>
              </w:rPr>
              <w:t xml:space="preserve">BAM Revenue Allocation Model Proposed </w:t>
            </w:r>
          </w:p>
          <w:p w14:paraId="562FC4A8" w14:textId="77777777" w:rsidR="00042D43" w:rsidRPr="009436FA" w:rsidRDefault="00042D43" w:rsidP="00042D43">
            <w:pPr>
              <w:widowControl/>
              <w:numPr>
                <w:ilvl w:val="3"/>
                <w:numId w:val="3"/>
              </w:numPr>
              <w:autoSpaceDE/>
              <w:autoSpaceDN/>
              <w:adjustRightInd/>
              <w:contextualSpacing/>
              <w:rPr>
                <w:sz w:val="24"/>
                <w:szCs w:val="24"/>
              </w:rPr>
            </w:pPr>
            <w:r w:rsidRPr="009436FA">
              <w:rPr>
                <w:sz w:val="24"/>
                <w:szCs w:val="24"/>
              </w:rPr>
              <w:t xml:space="preserve">DAS proposed budget reduction of District’s 27% of the revenue allocation to 18%. Reduction spread over the 5-year plan.   </w:t>
            </w:r>
          </w:p>
          <w:p w14:paraId="01984763" w14:textId="77777777" w:rsidR="00042D43" w:rsidRPr="009436FA" w:rsidRDefault="00042D43" w:rsidP="00042D43">
            <w:pPr>
              <w:widowControl/>
              <w:numPr>
                <w:ilvl w:val="3"/>
                <w:numId w:val="3"/>
              </w:numPr>
              <w:autoSpaceDE/>
              <w:autoSpaceDN/>
              <w:adjustRightInd/>
              <w:contextualSpacing/>
              <w:rPr>
                <w:sz w:val="24"/>
                <w:szCs w:val="24"/>
              </w:rPr>
            </w:pPr>
            <w:r w:rsidRPr="009436FA">
              <w:rPr>
                <w:sz w:val="24"/>
                <w:szCs w:val="24"/>
              </w:rPr>
              <w:lastRenderedPageBreak/>
              <w:t>Propose District reduce ICCs (6 million) by at least half</w:t>
            </w:r>
          </w:p>
          <w:p w14:paraId="49F75916" w14:textId="214A7DF9" w:rsidR="00042D43" w:rsidRPr="009436FA" w:rsidRDefault="00042D43" w:rsidP="00042D43">
            <w:pPr>
              <w:ind w:left="2880"/>
              <w:contextualSpacing/>
              <w:rPr>
                <w:sz w:val="24"/>
                <w:szCs w:val="24"/>
              </w:rPr>
            </w:pPr>
          </w:p>
          <w:p w14:paraId="41CF8044" w14:textId="50787D21" w:rsidR="00042D43" w:rsidRDefault="00042D43" w:rsidP="00042D43">
            <w:pPr>
              <w:ind w:left="2880"/>
              <w:contextualSpacing/>
              <w:rPr>
                <w:sz w:val="18"/>
              </w:rPr>
            </w:pPr>
          </w:p>
          <w:p w14:paraId="39653F51" w14:textId="7C3AE894" w:rsidR="00042D43" w:rsidRDefault="00042D43" w:rsidP="00042D43">
            <w:pPr>
              <w:ind w:left="2880"/>
              <w:contextualSpacing/>
              <w:rPr>
                <w:sz w:val="18"/>
              </w:rPr>
            </w:pPr>
          </w:p>
          <w:p w14:paraId="7AF97404" w14:textId="4EE4C034" w:rsidR="00042D43" w:rsidRDefault="00042D43" w:rsidP="00042D43">
            <w:pPr>
              <w:ind w:left="2880"/>
              <w:contextualSpacing/>
              <w:rPr>
                <w:sz w:val="18"/>
              </w:rPr>
            </w:pPr>
          </w:p>
          <w:p w14:paraId="38AE6362" w14:textId="15276DF0" w:rsidR="00042D43" w:rsidRDefault="00042D43" w:rsidP="00042D43">
            <w:pPr>
              <w:ind w:left="2880"/>
              <w:contextualSpacing/>
              <w:rPr>
                <w:sz w:val="18"/>
              </w:rPr>
            </w:pPr>
          </w:p>
          <w:p w14:paraId="24B140AB" w14:textId="3F0AA79A" w:rsidR="00042D43" w:rsidRDefault="00042D43" w:rsidP="00042D43">
            <w:pPr>
              <w:ind w:left="2880"/>
              <w:contextualSpacing/>
              <w:rPr>
                <w:sz w:val="18"/>
              </w:rPr>
            </w:pPr>
          </w:p>
          <w:p w14:paraId="16CCA3BA" w14:textId="43B1D5CF" w:rsidR="00042D43" w:rsidRDefault="00042D43" w:rsidP="00042D43">
            <w:pPr>
              <w:ind w:left="2880"/>
              <w:contextualSpacing/>
              <w:rPr>
                <w:sz w:val="18"/>
              </w:rPr>
            </w:pPr>
          </w:p>
          <w:p w14:paraId="18644BBB" w14:textId="5AB9FD21" w:rsidR="00042D43" w:rsidRDefault="00042D43" w:rsidP="00042D43">
            <w:pPr>
              <w:ind w:left="2880"/>
              <w:contextualSpacing/>
              <w:rPr>
                <w:sz w:val="18"/>
              </w:rPr>
            </w:pPr>
          </w:p>
          <w:p w14:paraId="2C30BDAC" w14:textId="64E92B6D" w:rsidR="00042D43" w:rsidRDefault="00042D43" w:rsidP="00042D43">
            <w:pPr>
              <w:ind w:left="2880"/>
              <w:contextualSpacing/>
              <w:rPr>
                <w:sz w:val="18"/>
              </w:rPr>
            </w:pPr>
          </w:p>
          <w:p w14:paraId="6033DA6C" w14:textId="404F5BAB" w:rsidR="00042D43" w:rsidRDefault="00042D43" w:rsidP="00042D43">
            <w:pPr>
              <w:ind w:left="2880"/>
              <w:contextualSpacing/>
              <w:rPr>
                <w:sz w:val="18"/>
              </w:rPr>
            </w:pPr>
          </w:p>
          <w:p w14:paraId="3F7C8151" w14:textId="2679E43B" w:rsidR="00042D43" w:rsidRDefault="00042D43" w:rsidP="00042D43">
            <w:pPr>
              <w:ind w:left="2880"/>
              <w:contextualSpacing/>
              <w:rPr>
                <w:sz w:val="18"/>
              </w:rPr>
            </w:pPr>
          </w:p>
          <w:p w14:paraId="2D35832D" w14:textId="77777777" w:rsidR="00042D43" w:rsidRDefault="00042D43" w:rsidP="00042D43">
            <w:pPr>
              <w:ind w:left="2880"/>
              <w:contextualSpacing/>
              <w:rPr>
                <w:sz w:val="18"/>
              </w:rPr>
            </w:pPr>
          </w:p>
          <w:p w14:paraId="31217CB5" w14:textId="77777777" w:rsidR="00042D43" w:rsidRPr="00050B45" w:rsidRDefault="00042D43" w:rsidP="00042D43">
            <w:pPr>
              <w:ind w:left="1440"/>
              <w:contextualSpacing/>
              <w:rPr>
                <w:sz w:val="18"/>
              </w:rPr>
            </w:pPr>
          </w:p>
          <w:p w14:paraId="6365DB59" w14:textId="559CC7C9" w:rsidR="008A44BC" w:rsidRDefault="008A44BC" w:rsidP="008A44BC">
            <w:pPr>
              <w:widowControl/>
              <w:autoSpaceDE/>
              <w:autoSpaceDN/>
              <w:adjustRightInd/>
              <w:rPr>
                <w:b/>
                <w:sz w:val="18"/>
              </w:rPr>
            </w:pPr>
          </w:p>
          <w:p w14:paraId="61804032" w14:textId="77777777" w:rsidR="008A44BC" w:rsidRPr="00D03163" w:rsidRDefault="008A44BC" w:rsidP="008A44BC">
            <w:pPr>
              <w:widowControl/>
              <w:autoSpaceDE/>
              <w:autoSpaceDN/>
              <w:adjustRightInd/>
              <w:rPr>
                <w:b/>
                <w:sz w:val="18"/>
              </w:rPr>
            </w:pPr>
          </w:p>
          <w:p w14:paraId="15A98F1A" w14:textId="24E3A300" w:rsidR="00E630BD" w:rsidRDefault="00E630BD" w:rsidP="00AC50B5">
            <w:pPr>
              <w:widowControl/>
              <w:autoSpaceDE/>
              <w:autoSpaceDN/>
              <w:adjustRightInd/>
              <w:rPr>
                <w:sz w:val="18"/>
              </w:rPr>
            </w:pPr>
          </w:p>
          <w:p w14:paraId="4BF10693" w14:textId="78960B7E" w:rsidR="00E630BD" w:rsidRDefault="00E630BD" w:rsidP="00D03163">
            <w:pPr>
              <w:widowControl/>
              <w:autoSpaceDE/>
              <w:autoSpaceDN/>
              <w:adjustRightInd/>
              <w:ind w:left="1440"/>
              <w:rPr>
                <w:sz w:val="18"/>
              </w:rPr>
            </w:pPr>
          </w:p>
          <w:p w14:paraId="2F43D5AA" w14:textId="3A693D88" w:rsidR="00E630BD" w:rsidRPr="0061286B" w:rsidRDefault="0061286B" w:rsidP="0061286B">
            <w:pPr>
              <w:pStyle w:val="ListParagraph"/>
              <w:widowControl/>
              <w:numPr>
                <w:ilvl w:val="0"/>
                <w:numId w:val="3"/>
              </w:numPr>
              <w:autoSpaceDE/>
              <w:autoSpaceDN/>
              <w:adjustRightInd/>
              <w:rPr>
                <w:sz w:val="18"/>
              </w:rPr>
            </w:pPr>
            <w:r w:rsidRPr="0061286B">
              <w:rPr>
                <w:sz w:val="18"/>
              </w:rPr>
              <w:t>Adjournme</w:t>
            </w:r>
            <w:r>
              <w:rPr>
                <w:sz w:val="18"/>
              </w:rPr>
              <w:t>nt</w:t>
            </w:r>
          </w:p>
          <w:p w14:paraId="5DF6C114" w14:textId="272C3932" w:rsidR="00B85948" w:rsidRPr="006F3F7D" w:rsidRDefault="00B85948" w:rsidP="00D34197">
            <w:pPr>
              <w:rPr>
                <w:rFonts w:asciiTheme="minorHAnsi" w:hAnsiTheme="minorHAnsi"/>
                <w:b/>
                <w:sz w:val="22"/>
                <w:szCs w:val="22"/>
              </w:rPr>
            </w:pPr>
          </w:p>
        </w:tc>
        <w:tc>
          <w:tcPr>
            <w:tcW w:w="4834" w:type="dxa"/>
          </w:tcPr>
          <w:p w14:paraId="32C7C6CC" w14:textId="77777777" w:rsidR="00D04193" w:rsidRPr="00042D43" w:rsidRDefault="00D04193" w:rsidP="00D34197">
            <w:pPr>
              <w:jc w:val="both"/>
              <w:rPr>
                <w:rFonts w:asciiTheme="minorHAnsi" w:hAnsiTheme="minorHAnsi"/>
                <w:b/>
                <w:sz w:val="22"/>
                <w:szCs w:val="22"/>
              </w:rPr>
            </w:pPr>
          </w:p>
          <w:p w14:paraId="3C817E74" w14:textId="77777777" w:rsidR="00042D43" w:rsidRDefault="00042D43" w:rsidP="00D34197">
            <w:pPr>
              <w:jc w:val="both"/>
              <w:rPr>
                <w:rFonts w:asciiTheme="minorHAnsi" w:hAnsiTheme="minorHAnsi"/>
                <w:b/>
                <w:sz w:val="22"/>
                <w:szCs w:val="22"/>
              </w:rPr>
            </w:pPr>
          </w:p>
          <w:p w14:paraId="4F4BF766" w14:textId="123A023D" w:rsidR="001A3C09" w:rsidRDefault="001A3C09" w:rsidP="00D34197">
            <w:pPr>
              <w:jc w:val="both"/>
              <w:rPr>
                <w:rFonts w:asciiTheme="minorHAnsi" w:hAnsiTheme="minorHAnsi"/>
                <w:sz w:val="22"/>
                <w:szCs w:val="22"/>
              </w:rPr>
            </w:pPr>
            <w:r>
              <w:rPr>
                <w:rFonts w:asciiTheme="minorHAnsi" w:hAnsiTheme="minorHAnsi"/>
                <w:sz w:val="22"/>
                <w:szCs w:val="22"/>
              </w:rPr>
              <w:t>Meeting called to order at 230pm</w:t>
            </w:r>
          </w:p>
          <w:p w14:paraId="0EEF93E1" w14:textId="4C1B5300" w:rsidR="00042D43" w:rsidRPr="009436FA" w:rsidRDefault="009436FA" w:rsidP="00D34197">
            <w:pPr>
              <w:jc w:val="both"/>
              <w:rPr>
                <w:rFonts w:asciiTheme="minorHAnsi" w:hAnsiTheme="minorHAnsi"/>
                <w:sz w:val="22"/>
                <w:szCs w:val="22"/>
              </w:rPr>
            </w:pPr>
            <w:r w:rsidRPr="009436FA">
              <w:rPr>
                <w:rFonts w:asciiTheme="minorHAnsi" w:hAnsiTheme="minorHAnsi"/>
                <w:sz w:val="22"/>
                <w:szCs w:val="22"/>
              </w:rPr>
              <w:t>Agenda accepted without objection.</w:t>
            </w:r>
          </w:p>
          <w:p w14:paraId="236FF0EF" w14:textId="77777777" w:rsidR="00042D43" w:rsidRPr="009436FA" w:rsidRDefault="00042D43" w:rsidP="00D34197">
            <w:pPr>
              <w:jc w:val="both"/>
              <w:rPr>
                <w:rFonts w:asciiTheme="minorHAnsi" w:hAnsiTheme="minorHAnsi"/>
                <w:sz w:val="22"/>
                <w:szCs w:val="22"/>
              </w:rPr>
            </w:pPr>
          </w:p>
          <w:p w14:paraId="3840EA2D" w14:textId="77777777" w:rsidR="00042D43" w:rsidRPr="009436FA" w:rsidRDefault="00042D43" w:rsidP="00D34197">
            <w:pPr>
              <w:jc w:val="both"/>
              <w:rPr>
                <w:rFonts w:asciiTheme="minorHAnsi" w:hAnsiTheme="minorHAnsi"/>
                <w:sz w:val="22"/>
                <w:szCs w:val="22"/>
              </w:rPr>
            </w:pPr>
          </w:p>
          <w:p w14:paraId="0861EAC4" w14:textId="77777777" w:rsidR="00042D43" w:rsidRPr="009436FA" w:rsidRDefault="00042D43" w:rsidP="00D34197">
            <w:pPr>
              <w:jc w:val="both"/>
              <w:rPr>
                <w:rFonts w:asciiTheme="minorHAnsi" w:hAnsiTheme="minorHAnsi"/>
                <w:sz w:val="22"/>
                <w:szCs w:val="22"/>
              </w:rPr>
            </w:pPr>
          </w:p>
          <w:p w14:paraId="2F02CEC3" w14:textId="77777777" w:rsidR="00042D43" w:rsidRPr="009436FA" w:rsidRDefault="00042D43" w:rsidP="00D34197">
            <w:pPr>
              <w:jc w:val="both"/>
              <w:rPr>
                <w:rFonts w:asciiTheme="minorHAnsi" w:hAnsiTheme="minorHAnsi"/>
                <w:sz w:val="22"/>
                <w:szCs w:val="22"/>
              </w:rPr>
            </w:pPr>
          </w:p>
          <w:p w14:paraId="6732AB4C" w14:textId="69D9195D" w:rsidR="009436FA" w:rsidRPr="009436FA" w:rsidRDefault="009436FA" w:rsidP="00D34197">
            <w:pPr>
              <w:jc w:val="both"/>
              <w:rPr>
                <w:rFonts w:asciiTheme="minorHAnsi" w:hAnsiTheme="minorHAnsi"/>
                <w:sz w:val="22"/>
                <w:szCs w:val="22"/>
              </w:rPr>
            </w:pPr>
            <w:r w:rsidRPr="009436FA">
              <w:rPr>
                <w:rFonts w:asciiTheme="minorHAnsi" w:hAnsiTheme="minorHAnsi"/>
                <w:sz w:val="22"/>
                <w:szCs w:val="22"/>
              </w:rPr>
              <w:t>There was a general discussion regarding the assumptions underlying fiscal status of district.  The conclusion was that there possibly is no immediate large shortfall in the district budget; however, this possibility is based on different tax scenarios.  The DAS needs to pay close attention to the status of the budget to ensure that decisions made regarding to budget cuts are warranted and the best option for the effective functioning of the district, especially related to staffing necessary to grow enrollment.</w:t>
            </w:r>
          </w:p>
          <w:p w14:paraId="1329351D" w14:textId="77777777" w:rsidR="009436FA" w:rsidRPr="009436FA" w:rsidRDefault="009436FA" w:rsidP="00D34197">
            <w:pPr>
              <w:jc w:val="both"/>
              <w:rPr>
                <w:rFonts w:asciiTheme="minorHAnsi" w:hAnsiTheme="minorHAnsi"/>
                <w:sz w:val="22"/>
                <w:szCs w:val="22"/>
              </w:rPr>
            </w:pPr>
          </w:p>
          <w:p w14:paraId="614EDBF5" w14:textId="1DE27181" w:rsidR="00042D43" w:rsidRPr="009436FA" w:rsidRDefault="00422BB9" w:rsidP="00D34197">
            <w:pPr>
              <w:jc w:val="both"/>
              <w:rPr>
                <w:rFonts w:asciiTheme="minorHAnsi" w:hAnsiTheme="minorHAnsi"/>
                <w:sz w:val="22"/>
                <w:szCs w:val="22"/>
              </w:rPr>
            </w:pPr>
            <w:r w:rsidRPr="009436FA">
              <w:rPr>
                <w:rFonts w:asciiTheme="minorHAnsi" w:hAnsiTheme="minorHAnsi"/>
                <w:sz w:val="22"/>
                <w:szCs w:val="22"/>
              </w:rPr>
              <w:t>Basic Principle: The District and colleges should share in the budget cuts, with the District cutting more because they are not directly involved in FTES generation.</w:t>
            </w:r>
          </w:p>
          <w:p w14:paraId="0AE2196E" w14:textId="1EF641F7" w:rsidR="00D47C07" w:rsidRPr="009436FA" w:rsidRDefault="00D47C07" w:rsidP="00D34197">
            <w:pPr>
              <w:jc w:val="both"/>
              <w:rPr>
                <w:rFonts w:asciiTheme="minorHAnsi" w:hAnsiTheme="minorHAnsi"/>
                <w:sz w:val="22"/>
                <w:szCs w:val="22"/>
              </w:rPr>
            </w:pPr>
          </w:p>
          <w:p w14:paraId="684D72A0" w14:textId="7D313199" w:rsidR="00D47C07" w:rsidRPr="009436FA" w:rsidRDefault="00D47C07" w:rsidP="00D34197">
            <w:pPr>
              <w:jc w:val="both"/>
              <w:rPr>
                <w:rFonts w:asciiTheme="minorHAnsi" w:hAnsiTheme="minorHAnsi"/>
                <w:sz w:val="22"/>
                <w:szCs w:val="22"/>
              </w:rPr>
            </w:pPr>
            <w:r w:rsidRPr="009436FA">
              <w:rPr>
                <w:rFonts w:asciiTheme="minorHAnsi" w:hAnsiTheme="minorHAnsi"/>
                <w:sz w:val="22"/>
                <w:szCs w:val="22"/>
              </w:rPr>
              <w:t xml:space="preserve">The DAS’s position is that the District needs to cut </w:t>
            </w:r>
            <w:r w:rsidRPr="009436FA">
              <w:rPr>
                <w:rFonts w:asciiTheme="minorHAnsi" w:hAnsiTheme="minorHAnsi"/>
                <w:sz w:val="22"/>
                <w:szCs w:val="22"/>
              </w:rPr>
              <w:lastRenderedPageBreak/>
              <w:t>to get down to 15% of the budget. College presidents are in line with this.</w:t>
            </w:r>
          </w:p>
          <w:p w14:paraId="6348C8F2" w14:textId="7A51CA3F" w:rsidR="002416C0" w:rsidRPr="009436FA" w:rsidRDefault="002416C0" w:rsidP="00D34197">
            <w:pPr>
              <w:jc w:val="both"/>
              <w:rPr>
                <w:rFonts w:asciiTheme="minorHAnsi" w:hAnsiTheme="minorHAnsi"/>
                <w:sz w:val="22"/>
                <w:szCs w:val="22"/>
              </w:rPr>
            </w:pPr>
          </w:p>
          <w:p w14:paraId="7F0EA873" w14:textId="3846F1B0" w:rsidR="002416C0" w:rsidRPr="009436FA" w:rsidRDefault="005063B0" w:rsidP="00D34197">
            <w:pPr>
              <w:jc w:val="both"/>
              <w:rPr>
                <w:rFonts w:asciiTheme="minorHAnsi" w:hAnsiTheme="minorHAnsi"/>
                <w:sz w:val="22"/>
                <w:szCs w:val="22"/>
              </w:rPr>
            </w:pPr>
            <w:r w:rsidRPr="009436FA">
              <w:rPr>
                <w:rFonts w:asciiTheme="minorHAnsi" w:hAnsiTheme="minorHAnsi"/>
                <w:sz w:val="22"/>
                <w:szCs w:val="22"/>
              </w:rPr>
              <w:t>We need to a</w:t>
            </w:r>
            <w:r w:rsidR="002416C0" w:rsidRPr="009436FA">
              <w:rPr>
                <w:rFonts w:asciiTheme="minorHAnsi" w:hAnsiTheme="minorHAnsi"/>
                <w:sz w:val="22"/>
                <w:szCs w:val="22"/>
              </w:rPr>
              <w:t>ssess what is the best functional structure at the district to define what cuts we can make.  Initially, we can cut miscellaneous costs.</w:t>
            </w:r>
          </w:p>
          <w:p w14:paraId="60319211" w14:textId="77777777" w:rsidR="002416C0" w:rsidRPr="009436FA" w:rsidRDefault="002416C0" w:rsidP="00D34197">
            <w:pPr>
              <w:jc w:val="both"/>
              <w:rPr>
                <w:rFonts w:asciiTheme="minorHAnsi" w:hAnsiTheme="minorHAnsi"/>
                <w:sz w:val="22"/>
                <w:szCs w:val="22"/>
              </w:rPr>
            </w:pPr>
          </w:p>
          <w:p w14:paraId="705E11B1" w14:textId="799A8AEE" w:rsidR="00A8321E" w:rsidRPr="009436FA" w:rsidRDefault="002416C0" w:rsidP="00A8321E">
            <w:pPr>
              <w:widowControl/>
              <w:autoSpaceDE/>
              <w:autoSpaceDN/>
              <w:adjustRightInd/>
              <w:rPr>
                <w:rFonts w:ascii="Calibri" w:hAnsi="Calibri" w:cs="Calibri"/>
                <w:color w:val="000000"/>
                <w:sz w:val="24"/>
                <w:szCs w:val="24"/>
              </w:rPr>
            </w:pPr>
            <w:r w:rsidRPr="009436FA">
              <w:rPr>
                <w:rFonts w:asciiTheme="minorHAnsi" w:hAnsiTheme="minorHAnsi"/>
                <w:sz w:val="22"/>
                <w:szCs w:val="22"/>
              </w:rPr>
              <w:t xml:space="preserve">Motion: </w:t>
            </w:r>
            <w:r w:rsidR="000A5A10" w:rsidRPr="009436FA">
              <w:rPr>
                <w:rFonts w:asciiTheme="minorHAnsi" w:hAnsiTheme="minorHAnsi"/>
                <w:sz w:val="22"/>
                <w:szCs w:val="22"/>
              </w:rPr>
              <w:t xml:space="preserve"> </w:t>
            </w:r>
            <w:r w:rsidR="00A8321E" w:rsidRPr="009436FA">
              <w:rPr>
                <w:rFonts w:ascii="Calibri" w:hAnsi="Calibri" w:cs="Calibri"/>
                <w:color w:val="000000"/>
              </w:rPr>
              <w:t xml:space="preserve"> The extra budget reduction of $2.6 million </w:t>
            </w:r>
            <w:r w:rsidR="00A8321E" w:rsidRPr="009436FA">
              <w:rPr>
                <w:rFonts w:ascii="Calibri" w:hAnsi="Calibri" w:cs="Calibri"/>
                <w:color w:val="000000"/>
                <w:sz w:val="24"/>
                <w:szCs w:val="24"/>
              </w:rPr>
              <w:t xml:space="preserve">or a 3% reduction </w:t>
            </w:r>
            <w:r w:rsidR="00813C02" w:rsidRPr="009436FA">
              <w:rPr>
                <w:rFonts w:ascii="Calibri" w:hAnsi="Calibri" w:cs="Calibri"/>
                <w:color w:val="000000"/>
                <w:sz w:val="24"/>
                <w:szCs w:val="24"/>
              </w:rPr>
              <w:t xml:space="preserve">be applied </w:t>
            </w:r>
            <w:r w:rsidR="00A8321E" w:rsidRPr="009436FA">
              <w:rPr>
                <w:rFonts w:ascii="Calibri" w:hAnsi="Calibri" w:cs="Calibri"/>
                <w:color w:val="000000"/>
                <w:sz w:val="24"/>
                <w:szCs w:val="24"/>
              </w:rPr>
              <w:t>to the District Office and Central Services allocation from available revenue via the BAM model--whichever is greater.</w:t>
            </w:r>
          </w:p>
          <w:p w14:paraId="63D9B36D" w14:textId="54B43582" w:rsidR="00A8321E" w:rsidRPr="009436FA" w:rsidRDefault="00A8321E" w:rsidP="00A8321E">
            <w:pPr>
              <w:widowControl/>
              <w:autoSpaceDE/>
              <w:autoSpaceDN/>
              <w:adjustRightInd/>
              <w:rPr>
                <w:rFonts w:ascii="Calibri" w:hAnsi="Calibri" w:cs="Calibri"/>
                <w:color w:val="000000"/>
                <w:sz w:val="24"/>
                <w:szCs w:val="24"/>
              </w:rPr>
            </w:pPr>
          </w:p>
          <w:p w14:paraId="0EA38654" w14:textId="0979EA1A" w:rsidR="00A8321E" w:rsidRPr="009436FA" w:rsidRDefault="00A8321E" w:rsidP="00A8321E">
            <w:pPr>
              <w:widowControl/>
              <w:autoSpaceDE/>
              <w:autoSpaceDN/>
              <w:adjustRightInd/>
              <w:rPr>
                <w:rFonts w:ascii="Calibri" w:hAnsi="Calibri" w:cs="Calibri"/>
                <w:color w:val="000000"/>
                <w:sz w:val="24"/>
                <w:szCs w:val="24"/>
              </w:rPr>
            </w:pPr>
            <w:r w:rsidRPr="009436FA">
              <w:rPr>
                <w:rFonts w:ascii="Calibri" w:hAnsi="Calibri" w:cs="Calibri"/>
                <w:color w:val="000000"/>
                <w:sz w:val="24"/>
                <w:szCs w:val="24"/>
              </w:rPr>
              <w:t>Jones; Renbarger</w:t>
            </w:r>
          </w:p>
          <w:p w14:paraId="25168F16" w14:textId="62421D66" w:rsidR="00A8321E" w:rsidRPr="009436FA" w:rsidRDefault="00A8321E" w:rsidP="00A8321E">
            <w:pPr>
              <w:widowControl/>
              <w:autoSpaceDE/>
              <w:autoSpaceDN/>
              <w:adjustRightInd/>
              <w:rPr>
                <w:rFonts w:ascii="Calibri" w:hAnsi="Calibri" w:cs="Calibri"/>
                <w:color w:val="000000"/>
                <w:sz w:val="24"/>
                <w:szCs w:val="24"/>
              </w:rPr>
            </w:pPr>
            <w:r w:rsidRPr="009436FA">
              <w:rPr>
                <w:rFonts w:ascii="Calibri" w:hAnsi="Calibri" w:cs="Calibri"/>
                <w:color w:val="000000"/>
                <w:sz w:val="24"/>
                <w:szCs w:val="24"/>
              </w:rPr>
              <w:t>Unanimous</w:t>
            </w:r>
          </w:p>
          <w:p w14:paraId="6664315A" w14:textId="651AE78B" w:rsidR="00813C02" w:rsidRPr="009436FA" w:rsidRDefault="00813C02" w:rsidP="00813C02">
            <w:pPr>
              <w:widowControl/>
              <w:autoSpaceDE/>
              <w:autoSpaceDN/>
              <w:adjustRightInd/>
              <w:rPr>
                <w:rFonts w:ascii="Calibri" w:hAnsi="Calibri" w:cs="Calibri"/>
                <w:color w:val="000000"/>
                <w:sz w:val="24"/>
                <w:szCs w:val="24"/>
              </w:rPr>
            </w:pPr>
          </w:p>
          <w:p w14:paraId="4349A8E1" w14:textId="6E361606" w:rsidR="00A8321E" w:rsidRPr="009436FA" w:rsidRDefault="00813C02" w:rsidP="00A8321E">
            <w:pPr>
              <w:widowControl/>
              <w:autoSpaceDE/>
              <w:autoSpaceDN/>
              <w:adjustRightInd/>
              <w:rPr>
                <w:rFonts w:ascii="Calibri" w:hAnsi="Calibri" w:cs="Calibri"/>
                <w:color w:val="000000"/>
                <w:sz w:val="24"/>
                <w:szCs w:val="24"/>
              </w:rPr>
            </w:pPr>
            <w:r w:rsidRPr="009436FA">
              <w:rPr>
                <w:rFonts w:ascii="Calibri" w:hAnsi="Calibri" w:cs="Calibri"/>
                <w:color w:val="000000"/>
                <w:shd w:val="clear" w:color="auto" w:fill="FFFFFF"/>
              </w:rPr>
              <w:t>Motion: Charge the PBC's Finance Group to revisit the financial forecast and reconsider the</w:t>
            </w:r>
            <w:r w:rsidR="005063B0" w:rsidRPr="009436FA">
              <w:rPr>
                <w:rFonts w:ascii="Calibri" w:hAnsi="Calibri" w:cs="Calibri"/>
                <w:color w:val="000000"/>
                <w:shd w:val="clear" w:color="auto" w:fill="FFFFFF"/>
              </w:rPr>
              <w:t>2018-19</w:t>
            </w:r>
            <w:r w:rsidRPr="009436FA">
              <w:rPr>
                <w:rFonts w:ascii="Calibri" w:hAnsi="Calibri" w:cs="Calibri"/>
                <w:color w:val="000000"/>
                <w:shd w:val="clear" w:color="auto" w:fill="FFFFFF"/>
              </w:rPr>
              <w:t xml:space="preserve"> frozen funds based on possible additional funds derived from changing revenue.</w:t>
            </w:r>
          </w:p>
          <w:p w14:paraId="31C54DD1" w14:textId="7DE2FED0" w:rsidR="00A8321E" w:rsidRPr="009436FA" w:rsidRDefault="00A8321E" w:rsidP="00A8321E">
            <w:pPr>
              <w:widowControl/>
              <w:autoSpaceDE/>
              <w:autoSpaceDN/>
              <w:adjustRightInd/>
              <w:rPr>
                <w:rFonts w:ascii="Calibri" w:hAnsi="Calibri" w:cs="Calibri"/>
                <w:color w:val="000000"/>
              </w:rPr>
            </w:pPr>
            <w:r w:rsidRPr="009436FA">
              <w:rPr>
                <w:rFonts w:ascii="Calibri" w:hAnsi="Calibri" w:cs="Calibri"/>
                <w:color w:val="000000"/>
              </w:rPr>
              <w:t>Johnson; Moore</w:t>
            </w:r>
          </w:p>
          <w:p w14:paraId="0856785D" w14:textId="2F5BC315" w:rsidR="00813C02" w:rsidRPr="009436FA" w:rsidRDefault="00813C02" w:rsidP="00A8321E">
            <w:pPr>
              <w:widowControl/>
              <w:autoSpaceDE/>
              <w:autoSpaceDN/>
              <w:adjustRightInd/>
              <w:rPr>
                <w:rFonts w:ascii="Calibri" w:hAnsi="Calibri" w:cs="Calibri"/>
                <w:color w:val="000000"/>
              </w:rPr>
            </w:pPr>
            <w:r w:rsidRPr="009436FA">
              <w:rPr>
                <w:rFonts w:ascii="Calibri" w:hAnsi="Calibri" w:cs="Calibri"/>
                <w:color w:val="000000"/>
              </w:rPr>
              <w:t>Unanimous approval</w:t>
            </w:r>
          </w:p>
          <w:p w14:paraId="755D5FA4" w14:textId="036FB3A1" w:rsidR="000A5A10" w:rsidRPr="009436FA" w:rsidRDefault="000A5A10" w:rsidP="00D34197">
            <w:pPr>
              <w:jc w:val="both"/>
              <w:rPr>
                <w:rFonts w:asciiTheme="minorHAnsi" w:hAnsiTheme="minorHAnsi"/>
                <w:sz w:val="22"/>
                <w:szCs w:val="22"/>
              </w:rPr>
            </w:pPr>
          </w:p>
          <w:p w14:paraId="5BABAD31" w14:textId="39425A4E" w:rsidR="00042D43" w:rsidRPr="009436FA" w:rsidRDefault="005063B0" w:rsidP="00D34197">
            <w:pPr>
              <w:jc w:val="both"/>
              <w:rPr>
                <w:rFonts w:asciiTheme="minorHAnsi" w:hAnsiTheme="minorHAnsi"/>
                <w:sz w:val="22"/>
                <w:szCs w:val="22"/>
              </w:rPr>
            </w:pPr>
            <w:r w:rsidRPr="009436FA">
              <w:rPr>
                <w:rFonts w:asciiTheme="minorHAnsi" w:hAnsiTheme="minorHAnsi"/>
                <w:sz w:val="22"/>
                <w:szCs w:val="22"/>
              </w:rPr>
              <w:t xml:space="preserve">We should only be taking action to address a deficit reduction </w:t>
            </w:r>
            <w:r w:rsidR="00D52C83" w:rsidRPr="009436FA">
              <w:rPr>
                <w:rFonts w:asciiTheme="minorHAnsi" w:hAnsiTheme="minorHAnsi"/>
                <w:sz w:val="22"/>
                <w:szCs w:val="22"/>
              </w:rPr>
              <w:t>for 2019-20.</w:t>
            </w:r>
          </w:p>
          <w:p w14:paraId="408812CE" w14:textId="38BA6C0D" w:rsidR="000B0B28" w:rsidRPr="009436FA" w:rsidRDefault="000B0B28" w:rsidP="000B0B28">
            <w:pPr>
              <w:widowControl/>
              <w:autoSpaceDE/>
              <w:autoSpaceDN/>
              <w:adjustRightInd/>
              <w:rPr>
                <w:rFonts w:ascii="Calibri" w:hAnsi="Calibri" w:cs="Calibri"/>
                <w:color w:val="000000"/>
                <w:sz w:val="24"/>
                <w:szCs w:val="24"/>
              </w:rPr>
            </w:pPr>
            <w:r w:rsidRPr="009436FA">
              <w:rPr>
                <w:rFonts w:ascii="Calibri" w:hAnsi="Calibri" w:cs="Calibri"/>
                <w:color w:val="000000"/>
                <w:sz w:val="24"/>
                <w:szCs w:val="24"/>
              </w:rPr>
              <w:t>Motion: On revisiting the revenue forecast, tie any of the funds from the previously frozen positions only to the amount necessary to make up the 2019-2020 operational deficit after including the District cuts. Any potential excess to be kept by the Colleges.</w:t>
            </w:r>
          </w:p>
          <w:p w14:paraId="56D6AAF1" w14:textId="31A4E953" w:rsidR="0008686C" w:rsidRPr="009436FA" w:rsidRDefault="000B0B28" w:rsidP="00D34197">
            <w:pPr>
              <w:jc w:val="both"/>
              <w:rPr>
                <w:rFonts w:asciiTheme="minorHAnsi" w:hAnsiTheme="minorHAnsi"/>
                <w:sz w:val="22"/>
                <w:szCs w:val="22"/>
              </w:rPr>
            </w:pPr>
            <w:r w:rsidRPr="009436FA">
              <w:rPr>
                <w:rFonts w:asciiTheme="minorHAnsi" w:hAnsiTheme="minorHAnsi"/>
                <w:sz w:val="22"/>
                <w:szCs w:val="22"/>
              </w:rPr>
              <w:t>Blake; Pernell</w:t>
            </w:r>
          </w:p>
          <w:p w14:paraId="1E97DD50" w14:textId="74506E0B" w:rsidR="000B0B28" w:rsidRPr="009436FA" w:rsidRDefault="000B0B28" w:rsidP="00D34197">
            <w:pPr>
              <w:jc w:val="both"/>
              <w:rPr>
                <w:rFonts w:asciiTheme="minorHAnsi" w:hAnsiTheme="minorHAnsi"/>
                <w:sz w:val="22"/>
                <w:szCs w:val="22"/>
              </w:rPr>
            </w:pPr>
            <w:r w:rsidRPr="009436FA">
              <w:rPr>
                <w:rFonts w:asciiTheme="minorHAnsi" w:hAnsiTheme="minorHAnsi"/>
                <w:sz w:val="22"/>
                <w:szCs w:val="22"/>
              </w:rPr>
              <w:t>Unanimous Approval</w:t>
            </w:r>
          </w:p>
          <w:p w14:paraId="4493B559" w14:textId="77777777" w:rsidR="0008686C" w:rsidRPr="009436FA" w:rsidRDefault="0008686C" w:rsidP="00D34197">
            <w:pPr>
              <w:jc w:val="both"/>
              <w:rPr>
                <w:rFonts w:asciiTheme="minorHAnsi" w:hAnsiTheme="minorHAnsi"/>
                <w:sz w:val="22"/>
                <w:szCs w:val="22"/>
              </w:rPr>
            </w:pPr>
          </w:p>
          <w:p w14:paraId="728D10CD" w14:textId="0468D3D8" w:rsidR="00D52C83" w:rsidRPr="009436FA" w:rsidRDefault="00D52C83" w:rsidP="00D34197">
            <w:pPr>
              <w:jc w:val="both"/>
              <w:rPr>
                <w:rFonts w:asciiTheme="minorHAnsi" w:hAnsiTheme="minorHAnsi"/>
                <w:sz w:val="22"/>
                <w:szCs w:val="22"/>
              </w:rPr>
            </w:pPr>
            <w:r w:rsidRPr="009436FA">
              <w:rPr>
                <w:rFonts w:asciiTheme="minorHAnsi" w:hAnsiTheme="minorHAnsi"/>
                <w:sz w:val="22"/>
                <w:szCs w:val="22"/>
              </w:rPr>
              <w:t xml:space="preserve"> in revisiting the revenue forecast, get rid of the 2018-19 freeze if </w:t>
            </w:r>
          </w:p>
          <w:p w14:paraId="6756F2D9" w14:textId="74D4A7B9" w:rsidR="0008686C" w:rsidRPr="009436FA" w:rsidRDefault="0008686C" w:rsidP="00D34197">
            <w:pPr>
              <w:jc w:val="both"/>
              <w:rPr>
                <w:rFonts w:asciiTheme="minorHAnsi" w:hAnsiTheme="minorHAnsi"/>
                <w:sz w:val="22"/>
                <w:szCs w:val="22"/>
              </w:rPr>
            </w:pPr>
            <w:r w:rsidRPr="009436FA">
              <w:rPr>
                <w:rFonts w:asciiTheme="minorHAnsi" w:hAnsiTheme="minorHAnsi"/>
                <w:sz w:val="22"/>
                <w:szCs w:val="22"/>
              </w:rPr>
              <w:t>Blake; Pernell</w:t>
            </w:r>
          </w:p>
          <w:p w14:paraId="6FBF7847" w14:textId="1F7624C5" w:rsidR="00042D43" w:rsidRPr="009436FA" w:rsidRDefault="00042D43" w:rsidP="00D34197">
            <w:pPr>
              <w:jc w:val="both"/>
              <w:rPr>
                <w:rFonts w:asciiTheme="minorHAnsi" w:hAnsiTheme="minorHAnsi"/>
                <w:sz w:val="22"/>
                <w:szCs w:val="22"/>
              </w:rPr>
            </w:pPr>
          </w:p>
          <w:p w14:paraId="126D5F7A" w14:textId="08F490DC" w:rsidR="00042D43" w:rsidRPr="009436FA" w:rsidRDefault="00042D43" w:rsidP="00D34197">
            <w:pPr>
              <w:jc w:val="both"/>
              <w:rPr>
                <w:rFonts w:asciiTheme="minorHAnsi" w:hAnsiTheme="minorHAnsi"/>
                <w:sz w:val="22"/>
                <w:szCs w:val="22"/>
              </w:rPr>
            </w:pPr>
          </w:p>
          <w:p w14:paraId="2965EA9E" w14:textId="45E666B2" w:rsidR="00042D43" w:rsidRPr="009436FA" w:rsidRDefault="00042D43" w:rsidP="00D34197">
            <w:pPr>
              <w:jc w:val="both"/>
              <w:rPr>
                <w:rFonts w:asciiTheme="minorHAnsi" w:hAnsiTheme="minorHAnsi"/>
                <w:sz w:val="22"/>
                <w:szCs w:val="22"/>
              </w:rPr>
            </w:pPr>
          </w:p>
          <w:p w14:paraId="32FE9674" w14:textId="6BDEA72C" w:rsidR="00042D43" w:rsidRPr="009436FA" w:rsidRDefault="00042D43" w:rsidP="00D34197">
            <w:pPr>
              <w:jc w:val="both"/>
              <w:rPr>
                <w:rFonts w:asciiTheme="minorHAnsi" w:hAnsiTheme="minorHAnsi"/>
                <w:sz w:val="22"/>
                <w:szCs w:val="22"/>
              </w:rPr>
            </w:pPr>
          </w:p>
          <w:p w14:paraId="57C02451" w14:textId="481038C1" w:rsidR="00042D43" w:rsidRPr="0061286B" w:rsidRDefault="0061286B" w:rsidP="00D34197">
            <w:pPr>
              <w:jc w:val="both"/>
              <w:rPr>
                <w:rFonts w:asciiTheme="minorHAnsi" w:hAnsiTheme="minorHAnsi"/>
                <w:sz w:val="22"/>
                <w:szCs w:val="22"/>
              </w:rPr>
            </w:pPr>
            <w:r w:rsidRPr="0061286B">
              <w:rPr>
                <w:rFonts w:asciiTheme="minorHAnsi" w:hAnsiTheme="minorHAnsi"/>
                <w:sz w:val="22"/>
                <w:szCs w:val="22"/>
              </w:rPr>
              <w:t>Meeting adjourned at 415pm</w:t>
            </w:r>
          </w:p>
          <w:p w14:paraId="44E4327B" w14:textId="017161E5" w:rsidR="00042D43" w:rsidRDefault="00042D43" w:rsidP="00D34197">
            <w:pPr>
              <w:jc w:val="both"/>
              <w:rPr>
                <w:rFonts w:asciiTheme="minorHAnsi" w:hAnsiTheme="minorHAnsi"/>
                <w:b/>
                <w:sz w:val="22"/>
                <w:szCs w:val="22"/>
              </w:rPr>
            </w:pPr>
          </w:p>
          <w:p w14:paraId="414541CD" w14:textId="0FE60F80" w:rsidR="003F1113" w:rsidRPr="00042D43" w:rsidRDefault="003F1113" w:rsidP="00705474">
            <w:pPr>
              <w:jc w:val="both"/>
              <w:rPr>
                <w:rFonts w:asciiTheme="minorHAnsi" w:hAnsiTheme="minorHAnsi"/>
                <w:b/>
                <w:sz w:val="22"/>
                <w:szCs w:val="22"/>
              </w:rPr>
            </w:pPr>
          </w:p>
        </w:tc>
        <w:tc>
          <w:tcPr>
            <w:tcW w:w="2731" w:type="dxa"/>
          </w:tcPr>
          <w:p w14:paraId="18FA3250" w14:textId="596D9F58" w:rsidR="0015245B" w:rsidRPr="00B22AFB" w:rsidRDefault="0015245B" w:rsidP="00427DA0">
            <w:pPr>
              <w:rPr>
                <w:rFonts w:asciiTheme="minorHAnsi" w:hAnsiTheme="minorHAnsi"/>
                <w:sz w:val="22"/>
                <w:szCs w:val="22"/>
              </w:rPr>
            </w:pPr>
          </w:p>
        </w:tc>
      </w:tr>
      <w:tr w:rsidR="0015245B" w:rsidRPr="00B22AFB" w14:paraId="404BA6C7" w14:textId="77777777" w:rsidTr="00AD0DF0">
        <w:trPr>
          <w:trHeight w:val="206"/>
        </w:trPr>
        <w:tc>
          <w:tcPr>
            <w:tcW w:w="6835" w:type="dxa"/>
          </w:tcPr>
          <w:p w14:paraId="0AE33047" w14:textId="2CCC521A" w:rsidR="00B85948" w:rsidRPr="00E411EA" w:rsidRDefault="00B85948" w:rsidP="00D34197">
            <w:pPr>
              <w:widowControl/>
              <w:autoSpaceDE/>
              <w:autoSpaceDN/>
              <w:adjustRightInd/>
              <w:spacing w:after="240"/>
              <w:rPr>
                <w:rFonts w:asciiTheme="minorHAnsi" w:hAnsiTheme="minorHAnsi"/>
                <w:sz w:val="22"/>
                <w:szCs w:val="22"/>
              </w:rPr>
            </w:pPr>
            <w:bookmarkStart w:id="0" w:name="_GoBack"/>
            <w:bookmarkEnd w:id="0"/>
          </w:p>
        </w:tc>
        <w:tc>
          <w:tcPr>
            <w:tcW w:w="4834" w:type="dxa"/>
          </w:tcPr>
          <w:p w14:paraId="4D82C3E5" w14:textId="77777777" w:rsidR="00E746E9" w:rsidRPr="00B22AFB" w:rsidRDefault="00E746E9" w:rsidP="00D34197">
            <w:pPr>
              <w:rPr>
                <w:rFonts w:asciiTheme="minorHAnsi" w:hAnsiTheme="minorHAnsi"/>
                <w:sz w:val="22"/>
                <w:szCs w:val="22"/>
              </w:rPr>
            </w:pPr>
          </w:p>
        </w:tc>
        <w:tc>
          <w:tcPr>
            <w:tcW w:w="2731" w:type="dxa"/>
          </w:tcPr>
          <w:p w14:paraId="5D37C9F5" w14:textId="617873FB" w:rsidR="00E746E9" w:rsidRPr="00B22AFB" w:rsidRDefault="00E746E9" w:rsidP="00950EE6">
            <w:pPr>
              <w:rPr>
                <w:rFonts w:asciiTheme="minorHAnsi" w:hAnsiTheme="minorHAnsi"/>
                <w:bCs/>
                <w:sz w:val="22"/>
                <w:szCs w:val="22"/>
              </w:rPr>
            </w:pPr>
          </w:p>
        </w:tc>
      </w:tr>
      <w:tr w:rsidR="0015245B" w:rsidRPr="00B22AFB" w14:paraId="0DBEE487" w14:textId="77777777" w:rsidTr="00AD0DF0">
        <w:tc>
          <w:tcPr>
            <w:tcW w:w="6835" w:type="dxa"/>
          </w:tcPr>
          <w:p w14:paraId="035D5D4E" w14:textId="77777777" w:rsidR="00B85948" w:rsidRPr="002E17BB" w:rsidRDefault="00B85948" w:rsidP="004173EB">
            <w:pPr>
              <w:rPr>
                <w:sz w:val="18"/>
              </w:rPr>
            </w:pPr>
          </w:p>
        </w:tc>
        <w:tc>
          <w:tcPr>
            <w:tcW w:w="4834" w:type="dxa"/>
          </w:tcPr>
          <w:p w14:paraId="5BC2F3FF" w14:textId="4E203005" w:rsidR="00D1604A" w:rsidRPr="00EF5A00" w:rsidRDefault="00D1604A" w:rsidP="00127275">
            <w:pPr>
              <w:rPr>
                <w:rFonts w:asciiTheme="minorHAnsi" w:hAnsiTheme="minorHAnsi"/>
                <w:sz w:val="22"/>
                <w:szCs w:val="22"/>
              </w:rPr>
            </w:pPr>
          </w:p>
        </w:tc>
        <w:tc>
          <w:tcPr>
            <w:tcW w:w="2731" w:type="dxa"/>
          </w:tcPr>
          <w:p w14:paraId="3C93D0D2" w14:textId="650652DA" w:rsidR="000E5896" w:rsidRPr="00B22AFB" w:rsidRDefault="000E5896" w:rsidP="00F00483">
            <w:pPr>
              <w:jc w:val="both"/>
              <w:rPr>
                <w:rFonts w:asciiTheme="minorHAnsi" w:hAnsiTheme="minorHAnsi"/>
                <w:sz w:val="22"/>
                <w:szCs w:val="22"/>
              </w:rPr>
            </w:pPr>
          </w:p>
        </w:tc>
      </w:tr>
    </w:tbl>
    <w:p w14:paraId="6F51D985" w14:textId="0773C3E3" w:rsidR="00B85948" w:rsidRDefault="00B85948" w:rsidP="00B85948">
      <w:pPr>
        <w:rPr>
          <w:rFonts w:asciiTheme="minorHAnsi" w:hAnsiTheme="minorHAnsi"/>
          <w:sz w:val="18"/>
          <w:szCs w:val="18"/>
        </w:rPr>
      </w:pPr>
    </w:p>
    <w:p w14:paraId="3212B249" w14:textId="77777777" w:rsidR="00B85948" w:rsidRPr="00BA0075" w:rsidRDefault="00B85948" w:rsidP="00B85948">
      <w:pPr>
        <w:rPr>
          <w:rFonts w:asciiTheme="minorHAnsi" w:hAnsiTheme="minorHAnsi"/>
          <w:sz w:val="18"/>
          <w:szCs w:val="18"/>
        </w:rPr>
      </w:pPr>
      <w:r w:rsidRPr="00BA0075">
        <w:rPr>
          <w:rFonts w:asciiTheme="minorHAnsi" w:hAnsiTheme="minorHAnsi"/>
          <w:sz w:val="18"/>
          <w:szCs w:val="18"/>
        </w:rPr>
        <w:t>Abbreviations:</w:t>
      </w:r>
    </w:p>
    <w:p w14:paraId="124E74D0"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DAS – District Academic Senate</w:t>
      </w:r>
    </w:p>
    <w:p w14:paraId="66E3FE51"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PCCD – Peralta Community College District</w:t>
      </w:r>
    </w:p>
    <w:p w14:paraId="53A05074"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BOT – Board of Trustees</w:t>
      </w:r>
    </w:p>
    <w:p w14:paraId="483B429D"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DAC – District Administrative Center</w:t>
      </w:r>
    </w:p>
    <w:p w14:paraId="24775E06" w14:textId="77777777" w:rsidR="00B85948" w:rsidRPr="00BA0075"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AP – Administrative Procedure</w:t>
      </w:r>
    </w:p>
    <w:p w14:paraId="125ECF9E" w14:textId="77777777" w:rsidR="00B85948" w:rsidRDefault="00B85948" w:rsidP="00B85948">
      <w:pPr>
        <w:pStyle w:val="ListParagraph"/>
        <w:numPr>
          <w:ilvl w:val="0"/>
          <w:numId w:val="1"/>
        </w:numPr>
        <w:rPr>
          <w:rFonts w:asciiTheme="minorHAnsi" w:hAnsiTheme="minorHAnsi"/>
          <w:sz w:val="18"/>
          <w:szCs w:val="18"/>
        </w:rPr>
      </w:pPr>
      <w:r w:rsidRPr="00BA0075">
        <w:rPr>
          <w:rFonts w:asciiTheme="minorHAnsi" w:hAnsiTheme="minorHAnsi"/>
          <w:sz w:val="18"/>
          <w:szCs w:val="18"/>
        </w:rPr>
        <w:t>BP – Board Policy</w:t>
      </w:r>
    </w:p>
    <w:p w14:paraId="5A4FA628" w14:textId="77777777" w:rsidR="00B85948" w:rsidRDefault="00B85948" w:rsidP="00B85948">
      <w:pPr>
        <w:rPr>
          <w:rFonts w:asciiTheme="minorHAnsi" w:hAnsiTheme="minorHAnsi"/>
          <w:sz w:val="18"/>
          <w:szCs w:val="18"/>
        </w:rPr>
      </w:pPr>
    </w:p>
    <w:p w14:paraId="3CA62A7E" w14:textId="77777777" w:rsidR="00B85948" w:rsidRDefault="00B85948" w:rsidP="00B85948">
      <w:pPr>
        <w:pStyle w:val="NormalWeb"/>
        <w:rPr>
          <w:sz w:val="18"/>
        </w:rPr>
      </w:pPr>
      <w:r>
        <w:rPr>
          <w:sz w:val="18"/>
        </w:rPr>
        <w:t xml:space="preserve">Title 5 §53200 DEFINITIONS [Source: </w:t>
      </w:r>
      <w:hyperlink r:id="rId11" w:history="1">
        <w:r>
          <w:rPr>
            <w:rStyle w:val="Hyperlink"/>
            <w:sz w:val="18"/>
          </w:rPr>
          <w:t>http://www.asccc.org/communities/local-senates/handbook/partI</w:t>
        </w:r>
      </w:hyperlink>
      <w:r>
        <w:rPr>
          <w:sz w:val="18"/>
        </w:rPr>
        <w:t>.  Retrieved 10/28/11.]</w:t>
      </w:r>
    </w:p>
    <w:p w14:paraId="4DB8F512" w14:textId="77777777" w:rsidR="00B85948" w:rsidRDefault="00B85948" w:rsidP="00B85948">
      <w:pPr>
        <w:pStyle w:val="NormalWeb"/>
        <w:spacing w:after="60"/>
        <w:rPr>
          <w:sz w:val="18"/>
        </w:rPr>
      </w:pPr>
      <w:r>
        <w:rPr>
          <w:sz w:val="18"/>
        </w:rPr>
        <w:t xml:space="preserve">Academic Senate means an organization whose primary function is to make recommendations with respect to academic and professional matters. </w:t>
      </w:r>
    </w:p>
    <w:p w14:paraId="4B9E9073" w14:textId="77777777" w:rsidR="00B85948" w:rsidRDefault="00B85948" w:rsidP="00B85948">
      <w:pPr>
        <w:pStyle w:val="NormalWeb"/>
        <w:spacing w:before="0" w:after="60"/>
        <w:rPr>
          <w:sz w:val="18"/>
        </w:rPr>
      </w:pPr>
      <w:r>
        <w:rPr>
          <w:sz w:val="18"/>
        </w:rPr>
        <w:t xml:space="preserve">Academic and Professional matters means the following policy development matters: </w:t>
      </w:r>
    </w:p>
    <w:p w14:paraId="1D186E9C" w14:textId="77777777" w:rsidR="00B85948" w:rsidRDefault="00B85948" w:rsidP="00B85948">
      <w:pPr>
        <w:pStyle w:val="NormalWeb"/>
        <w:spacing w:before="120" w:after="120"/>
        <w:rPr>
          <w:sz w:val="18"/>
        </w:rPr>
      </w:pPr>
      <w:r>
        <w:rPr>
          <w:sz w:val="18"/>
        </w:rPr>
        <w:t>1. Curriculum, including establishing prerequisites.</w:t>
      </w:r>
      <w:r>
        <w:rPr>
          <w:sz w:val="18"/>
        </w:rPr>
        <w:cr/>
        <w:t>2. Degree and certificate requirements.</w:t>
      </w:r>
      <w:r>
        <w:rPr>
          <w:sz w:val="18"/>
        </w:rPr>
        <w:cr/>
        <w:t>3. Grading policies.</w:t>
      </w:r>
      <w:r>
        <w:rPr>
          <w:sz w:val="18"/>
        </w:rPr>
        <w:cr/>
        <w:t>4. Educational program development.</w:t>
      </w:r>
      <w:r>
        <w:rPr>
          <w:sz w:val="18"/>
        </w:rPr>
        <w:cr/>
        <w:t>5. Standards or policies regarding student preparation and success.</w:t>
      </w:r>
      <w:r>
        <w:rPr>
          <w:sz w:val="18"/>
        </w:rPr>
        <w:cr/>
        <w:t>6. College governance structures, as related to faculty roles.</w:t>
      </w:r>
      <w:r>
        <w:rPr>
          <w:sz w:val="18"/>
        </w:rPr>
        <w:cr/>
        <w:t>7. Faculty roles and involvement in accreditation processes.</w:t>
      </w:r>
      <w:r>
        <w:rPr>
          <w:sz w:val="18"/>
        </w:rPr>
        <w:cr/>
        <w:t>8. Policies for faculty professional development activities.</w:t>
      </w:r>
      <w:r>
        <w:rPr>
          <w:sz w:val="18"/>
        </w:rPr>
        <w:cr/>
        <w:t>9. Processes for program review.</w:t>
      </w:r>
      <w:r>
        <w:rPr>
          <w:sz w:val="18"/>
        </w:rPr>
        <w:cr/>
        <w:t>10. Processes for institutional planning and budget development.</w:t>
      </w:r>
      <w:r>
        <w:rPr>
          <w:sz w:val="18"/>
        </w:rPr>
        <w:cr/>
        <w:t>11. Other academic and professional matters as mutually agreed upon.</w:t>
      </w:r>
    </w:p>
    <w:p w14:paraId="4D58208D" w14:textId="77777777" w:rsidR="00B85948" w:rsidRDefault="00B85948" w:rsidP="00B85948">
      <w:pPr>
        <w:pStyle w:val="NormalWeb"/>
        <w:spacing w:before="0" w:after="60"/>
        <w:rPr>
          <w:sz w:val="18"/>
        </w:rPr>
      </w:pPr>
      <w:r>
        <w:rPr>
          <w:sz w:val="18"/>
        </w:rPr>
        <w:t>Consult collegially means that the district governing board shall develop policies on academic and professional matters through either or both of the following:</w:t>
      </w:r>
    </w:p>
    <w:p w14:paraId="48E59ECF" w14:textId="77777777" w:rsidR="00B85948" w:rsidRDefault="00B85948" w:rsidP="00B85948">
      <w:pPr>
        <w:pStyle w:val="NormalWeb"/>
        <w:spacing w:before="0"/>
        <w:rPr>
          <w:sz w:val="18"/>
        </w:rPr>
      </w:pPr>
      <w:r>
        <w:rPr>
          <w:sz w:val="18"/>
        </w:rPr>
        <w:t>1. </w:t>
      </w:r>
      <w:r>
        <w:rPr>
          <w:b/>
          <w:sz w:val="18"/>
        </w:rPr>
        <w:t>Rely primarily upon the advice and judgment of the academic senate</w:t>
      </w:r>
      <w:r>
        <w:rPr>
          <w:sz w:val="18"/>
        </w:rPr>
        <w:t>, OR</w:t>
      </w:r>
      <w:r>
        <w:rPr>
          <w:sz w:val="18"/>
        </w:rPr>
        <w:cr/>
        <w:t>2. The governing board, or its designees, and the academic senate shall reach mutual agreement by written resolution, regulation, or policy of the governing board effectuating such recommendations.</w:t>
      </w:r>
    </w:p>
    <w:p w14:paraId="2C0A4005" w14:textId="77777777" w:rsidR="00B85948" w:rsidRDefault="00B85948" w:rsidP="00B85948">
      <w:pPr>
        <w:pStyle w:val="NormalWeb"/>
        <w:spacing w:before="0" w:after="60"/>
        <w:rPr>
          <w:sz w:val="18"/>
        </w:rPr>
      </w:pPr>
      <w:r>
        <w:rPr>
          <w:sz w:val="18"/>
        </w:rPr>
        <w:t>§ (SECTION) 53203 POWERS</w:t>
      </w:r>
    </w:p>
    <w:p w14:paraId="2046CAF9" w14:textId="77777777" w:rsidR="00B85948" w:rsidRDefault="00B85948" w:rsidP="00B85948">
      <w:pPr>
        <w:pStyle w:val="NormalWeb"/>
        <w:spacing w:before="0" w:after="0"/>
        <w:rPr>
          <w:sz w:val="18"/>
        </w:rPr>
      </w:pPr>
      <w:r>
        <w:rPr>
          <w:sz w:val="18"/>
        </w:rPr>
        <w:t>A) The governing board shall adopt policies for the appropriate delegation of authority and responsibility to its college academic senate.</w:t>
      </w:r>
    </w:p>
    <w:p w14:paraId="56E56D0D" w14:textId="77777777" w:rsidR="00B85948" w:rsidRDefault="00B85948" w:rsidP="00B85948">
      <w:pPr>
        <w:pStyle w:val="NormalWeb"/>
        <w:spacing w:before="60" w:after="60"/>
        <w:rPr>
          <w:sz w:val="18"/>
        </w:rPr>
      </w:pPr>
      <w:r>
        <w:rPr>
          <w:sz w:val="18"/>
        </w:rPr>
        <w:t>B) In adopting the policies described in section (a), the governing board or designees, shall consult collegially with the academic senate.</w:t>
      </w:r>
    </w:p>
    <w:p w14:paraId="3A956736" w14:textId="77777777" w:rsidR="00B85948" w:rsidRDefault="00B85948" w:rsidP="00B85948">
      <w:pPr>
        <w:pStyle w:val="NormalWeb"/>
        <w:spacing w:before="60" w:after="60"/>
        <w:rPr>
          <w:sz w:val="18"/>
        </w:rPr>
      </w:pPr>
      <w:r>
        <w:rPr>
          <w:sz w:val="18"/>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10A55424" w14:textId="77777777" w:rsidR="00B85948" w:rsidRDefault="00B85948" w:rsidP="00B85948">
      <w:pPr>
        <w:pStyle w:val="NormalWeb"/>
        <w:spacing w:before="60" w:after="60"/>
        <w:rPr>
          <w:sz w:val="18"/>
        </w:rPr>
      </w:pPr>
      <w:r>
        <w:rPr>
          <w:sz w:val="18"/>
        </w:rPr>
        <w:t>D) The governing board shall adopt procedures for responding to recommendations of the academic senate that incorporate the following:</w:t>
      </w:r>
    </w:p>
    <w:p w14:paraId="3199B488" w14:textId="77777777" w:rsidR="00B85948" w:rsidRDefault="00B85948" w:rsidP="00B85948">
      <w:pPr>
        <w:pStyle w:val="NormalWeb"/>
        <w:rPr>
          <w:rFonts w:ascii="Times New Roman" w:eastAsia="Times New Roman" w:hAnsi="Times New Roman"/>
          <w:color w:val="auto"/>
        </w:rPr>
      </w:pPr>
      <w:r>
        <w:rPr>
          <w:sz w:val="18"/>
        </w:rPr>
        <w:t>1. When the board elects to rely primarily upon the advice and judgment of the academic senate, the recommendation of the senate will normally be accepted, and only in exceptional circumstances and for compelling reasons will the recommendations not be accepted.</w:t>
      </w:r>
    </w:p>
    <w:p w14:paraId="70AF9BDF" w14:textId="77777777" w:rsidR="00B85948" w:rsidRPr="005D058E" w:rsidRDefault="00B85948" w:rsidP="00B85948">
      <w:pPr>
        <w:rPr>
          <w:rFonts w:asciiTheme="minorHAnsi" w:hAnsiTheme="minorHAnsi"/>
          <w:sz w:val="18"/>
          <w:szCs w:val="18"/>
        </w:rPr>
      </w:pPr>
    </w:p>
    <w:p w14:paraId="1BFBAB61" w14:textId="77777777" w:rsidR="00B85948" w:rsidRDefault="00B85948" w:rsidP="00B85948"/>
    <w:p w14:paraId="20EA7B56" w14:textId="77777777" w:rsidR="00B85948" w:rsidRDefault="00B85948" w:rsidP="00B85948"/>
    <w:p w14:paraId="5E8A5693" w14:textId="77777777" w:rsidR="00B85948" w:rsidRDefault="00B85948" w:rsidP="00B85948"/>
    <w:p w14:paraId="7C28386A" w14:textId="77777777" w:rsidR="00B85948" w:rsidRDefault="00B85948" w:rsidP="00B85948"/>
    <w:p w14:paraId="2E0933BE" w14:textId="77777777" w:rsidR="00B85948" w:rsidRDefault="00B85948" w:rsidP="00B85948"/>
    <w:p w14:paraId="3212D5F8" w14:textId="77777777" w:rsidR="001A6AE1" w:rsidRDefault="001A6AE1"/>
    <w:sectPr w:rsidR="001A6AE1" w:rsidSect="00D34197">
      <w:footerReference w:type="default" r:id="rId12"/>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BC485" w14:textId="77777777" w:rsidR="004F78AF" w:rsidRDefault="004F78AF">
      <w:r>
        <w:separator/>
      </w:r>
    </w:p>
  </w:endnote>
  <w:endnote w:type="continuationSeparator" w:id="0">
    <w:p w14:paraId="7087BAA7" w14:textId="77777777" w:rsidR="004F78AF" w:rsidRDefault="004F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94D9D" w14:textId="77777777" w:rsidR="00BA4F1B" w:rsidRPr="00AE2668" w:rsidRDefault="00BA4F1B"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787B5B">
      <w:rPr>
        <w:rFonts w:ascii="Cambria" w:hAnsi="Cambria"/>
        <w:b/>
        <w:noProof/>
        <w:sz w:val="16"/>
        <w:szCs w:val="16"/>
      </w:rPr>
      <w:t>5</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787B5B">
      <w:rPr>
        <w:rFonts w:ascii="Cambria" w:hAnsi="Cambria"/>
        <w:b/>
        <w:noProof/>
        <w:sz w:val="16"/>
        <w:szCs w:val="16"/>
      </w:rPr>
      <w:t>5</w:t>
    </w:r>
    <w:r w:rsidRPr="00AE2668">
      <w:rPr>
        <w:rFonts w:ascii="Cambria" w:hAnsi="Cambria"/>
        <w:b/>
        <w:sz w:val="16"/>
        <w:szCs w:val="16"/>
      </w:rPr>
      <w:fldChar w:fldCharType="end"/>
    </w:r>
  </w:p>
  <w:p w14:paraId="6E834F15" w14:textId="77777777" w:rsidR="00BA4F1B" w:rsidRPr="00E0513A" w:rsidRDefault="00BA4F1B">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C6144" w14:textId="77777777" w:rsidR="004F78AF" w:rsidRDefault="004F78AF">
      <w:r>
        <w:separator/>
      </w:r>
    </w:p>
  </w:footnote>
  <w:footnote w:type="continuationSeparator" w:id="0">
    <w:p w14:paraId="6389BBA8" w14:textId="77777777" w:rsidR="004F78AF" w:rsidRDefault="004F7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93546C3"/>
    <w:multiLevelType w:val="hybridMultilevel"/>
    <w:tmpl w:val="DEE80FB2"/>
    <w:lvl w:ilvl="0" w:tplc="03A2BEF2">
      <w:start w:val="3"/>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6DB"/>
    <w:multiLevelType w:val="hybridMultilevel"/>
    <w:tmpl w:val="43243D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2221A"/>
    <w:multiLevelType w:val="hybridMultilevel"/>
    <w:tmpl w:val="9B883622"/>
    <w:lvl w:ilvl="0" w:tplc="BE1012CE">
      <w:start w:val="1"/>
      <w:numFmt w:val="decimal"/>
      <w:lvlText w:val="%1."/>
      <w:lvlJc w:val="left"/>
      <w:pPr>
        <w:tabs>
          <w:tab w:val="num" w:pos="630"/>
        </w:tabs>
        <w:ind w:left="630" w:hanging="360"/>
      </w:pPr>
      <w:rPr>
        <w:b w:val="0"/>
        <w:i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F5F1D25"/>
    <w:multiLevelType w:val="hybridMultilevel"/>
    <w:tmpl w:val="9C64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8733A"/>
    <w:multiLevelType w:val="hybridMultilevel"/>
    <w:tmpl w:val="ADDE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2C4737"/>
    <w:multiLevelType w:val="hybridMultilevel"/>
    <w:tmpl w:val="9470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84A34"/>
    <w:multiLevelType w:val="hybridMultilevel"/>
    <w:tmpl w:val="CDE2C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4286F"/>
    <w:multiLevelType w:val="hybridMultilevel"/>
    <w:tmpl w:val="824E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462124"/>
    <w:multiLevelType w:val="hybridMultilevel"/>
    <w:tmpl w:val="817A96C2"/>
    <w:lvl w:ilvl="0" w:tplc="0C7ADEB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9"/>
  </w:num>
  <w:num w:numId="5">
    <w:abstractNumId w:val="7"/>
  </w:num>
  <w:num w:numId="6">
    <w:abstractNumId w:val="1"/>
  </w:num>
  <w:num w:numId="7">
    <w:abstractNumId w:val="8"/>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948"/>
    <w:rsid w:val="00042D43"/>
    <w:rsid w:val="00050330"/>
    <w:rsid w:val="00057C2D"/>
    <w:rsid w:val="00065C24"/>
    <w:rsid w:val="000774A6"/>
    <w:rsid w:val="0008686C"/>
    <w:rsid w:val="000A5A10"/>
    <w:rsid w:val="000A688B"/>
    <w:rsid w:val="000B0B28"/>
    <w:rsid w:val="000C4986"/>
    <w:rsid w:val="000E534C"/>
    <w:rsid w:val="000E5896"/>
    <w:rsid w:val="00105FC0"/>
    <w:rsid w:val="00115BAD"/>
    <w:rsid w:val="00127275"/>
    <w:rsid w:val="001444B4"/>
    <w:rsid w:val="0015245B"/>
    <w:rsid w:val="00156D4C"/>
    <w:rsid w:val="001647CD"/>
    <w:rsid w:val="0016547D"/>
    <w:rsid w:val="00181148"/>
    <w:rsid w:val="00184150"/>
    <w:rsid w:val="001973E0"/>
    <w:rsid w:val="001A3C09"/>
    <w:rsid w:val="001A6AE1"/>
    <w:rsid w:val="001E1249"/>
    <w:rsid w:val="0022726F"/>
    <w:rsid w:val="002416C0"/>
    <w:rsid w:val="00245659"/>
    <w:rsid w:val="00277DE7"/>
    <w:rsid w:val="00286AED"/>
    <w:rsid w:val="00292793"/>
    <w:rsid w:val="002B78B5"/>
    <w:rsid w:val="002B7BD6"/>
    <w:rsid w:val="002E01C0"/>
    <w:rsid w:val="002E17BB"/>
    <w:rsid w:val="002F51A0"/>
    <w:rsid w:val="00335BB4"/>
    <w:rsid w:val="00340F53"/>
    <w:rsid w:val="003460A4"/>
    <w:rsid w:val="00357895"/>
    <w:rsid w:val="0036465D"/>
    <w:rsid w:val="00365FCA"/>
    <w:rsid w:val="003905BA"/>
    <w:rsid w:val="0039074D"/>
    <w:rsid w:val="003B093C"/>
    <w:rsid w:val="003B3FBD"/>
    <w:rsid w:val="003C0E25"/>
    <w:rsid w:val="003D51E8"/>
    <w:rsid w:val="003D543A"/>
    <w:rsid w:val="003D6C57"/>
    <w:rsid w:val="003F1113"/>
    <w:rsid w:val="003F3C32"/>
    <w:rsid w:val="004037E5"/>
    <w:rsid w:val="004173EB"/>
    <w:rsid w:val="00421BB5"/>
    <w:rsid w:val="00422BB9"/>
    <w:rsid w:val="004247BF"/>
    <w:rsid w:val="00427DA0"/>
    <w:rsid w:val="0047207D"/>
    <w:rsid w:val="004E0BF2"/>
    <w:rsid w:val="004F78AF"/>
    <w:rsid w:val="005063B0"/>
    <w:rsid w:val="00512955"/>
    <w:rsid w:val="005425FF"/>
    <w:rsid w:val="00557979"/>
    <w:rsid w:val="0059131E"/>
    <w:rsid w:val="005A0C58"/>
    <w:rsid w:val="005A7C2B"/>
    <w:rsid w:val="005E61F7"/>
    <w:rsid w:val="005F06EF"/>
    <w:rsid w:val="00606AFC"/>
    <w:rsid w:val="0061286B"/>
    <w:rsid w:val="00635051"/>
    <w:rsid w:val="0064634C"/>
    <w:rsid w:val="006807D9"/>
    <w:rsid w:val="00695865"/>
    <w:rsid w:val="006E40BE"/>
    <w:rsid w:val="006F4281"/>
    <w:rsid w:val="00705474"/>
    <w:rsid w:val="007237B6"/>
    <w:rsid w:val="00777C37"/>
    <w:rsid w:val="00787B5B"/>
    <w:rsid w:val="00793A6A"/>
    <w:rsid w:val="007951AB"/>
    <w:rsid w:val="007A2D06"/>
    <w:rsid w:val="007C69BB"/>
    <w:rsid w:val="007F6605"/>
    <w:rsid w:val="00801734"/>
    <w:rsid w:val="00813C02"/>
    <w:rsid w:val="008566D6"/>
    <w:rsid w:val="0087183D"/>
    <w:rsid w:val="00876167"/>
    <w:rsid w:val="00876328"/>
    <w:rsid w:val="008808F0"/>
    <w:rsid w:val="0088621F"/>
    <w:rsid w:val="008A44BC"/>
    <w:rsid w:val="008D1288"/>
    <w:rsid w:val="008F30AA"/>
    <w:rsid w:val="00934A8F"/>
    <w:rsid w:val="00941BEC"/>
    <w:rsid w:val="009425F0"/>
    <w:rsid w:val="009436FA"/>
    <w:rsid w:val="00950EE6"/>
    <w:rsid w:val="00961E19"/>
    <w:rsid w:val="00962065"/>
    <w:rsid w:val="00966480"/>
    <w:rsid w:val="009A75B2"/>
    <w:rsid w:val="009B1457"/>
    <w:rsid w:val="009D6E56"/>
    <w:rsid w:val="00A2442D"/>
    <w:rsid w:val="00A7564E"/>
    <w:rsid w:val="00A77F08"/>
    <w:rsid w:val="00A8321E"/>
    <w:rsid w:val="00AA03D2"/>
    <w:rsid w:val="00AA2446"/>
    <w:rsid w:val="00AA7079"/>
    <w:rsid w:val="00AC50B5"/>
    <w:rsid w:val="00AD0DF0"/>
    <w:rsid w:val="00AE30B7"/>
    <w:rsid w:val="00AF72FF"/>
    <w:rsid w:val="00B3061B"/>
    <w:rsid w:val="00B33854"/>
    <w:rsid w:val="00B355BC"/>
    <w:rsid w:val="00B5251E"/>
    <w:rsid w:val="00B708FD"/>
    <w:rsid w:val="00B85948"/>
    <w:rsid w:val="00BA4F1B"/>
    <w:rsid w:val="00BA7606"/>
    <w:rsid w:val="00BC3D90"/>
    <w:rsid w:val="00C06CA6"/>
    <w:rsid w:val="00C10334"/>
    <w:rsid w:val="00C53546"/>
    <w:rsid w:val="00C537DD"/>
    <w:rsid w:val="00C676E1"/>
    <w:rsid w:val="00C7048C"/>
    <w:rsid w:val="00C8169A"/>
    <w:rsid w:val="00C92D7E"/>
    <w:rsid w:val="00CC02DF"/>
    <w:rsid w:val="00CF4AFC"/>
    <w:rsid w:val="00CF5B52"/>
    <w:rsid w:val="00D03163"/>
    <w:rsid w:val="00D04193"/>
    <w:rsid w:val="00D06813"/>
    <w:rsid w:val="00D1604A"/>
    <w:rsid w:val="00D170C1"/>
    <w:rsid w:val="00D34197"/>
    <w:rsid w:val="00D47C07"/>
    <w:rsid w:val="00D52C83"/>
    <w:rsid w:val="00D5664C"/>
    <w:rsid w:val="00D6613E"/>
    <w:rsid w:val="00D73193"/>
    <w:rsid w:val="00DB4078"/>
    <w:rsid w:val="00DC24C1"/>
    <w:rsid w:val="00DF5CB8"/>
    <w:rsid w:val="00E336F6"/>
    <w:rsid w:val="00E417B5"/>
    <w:rsid w:val="00E52B8B"/>
    <w:rsid w:val="00E630BD"/>
    <w:rsid w:val="00E746E9"/>
    <w:rsid w:val="00E758C4"/>
    <w:rsid w:val="00E85E53"/>
    <w:rsid w:val="00EA1E9E"/>
    <w:rsid w:val="00EB4ADA"/>
    <w:rsid w:val="00F00483"/>
    <w:rsid w:val="00F078AD"/>
    <w:rsid w:val="00F13D63"/>
    <w:rsid w:val="00F1791E"/>
    <w:rsid w:val="00F40419"/>
    <w:rsid w:val="00F4271A"/>
    <w:rsid w:val="00F66F74"/>
    <w:rsid w:val="00F731EC"/>
    <w:rsid w:val="00F75C6B"/>
    <w:rsid w:val="00FA6A8A"/>
    <w:rsid w:val="00FB5B6E"/>
    <w:rsid w:val="00FD2008"/>
    <w:rsid w:val="00FE36E2"/>
    <w:rsid w:val="00FE3E92"/>
    <w:rsid w:val="00FF4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215683">
      <w:bodyDiv w:val="1"/>
      <w:marLeft w:val="0"/>
      <w:marRight w:val="0"/>
      <w:marTop w:val="0"/>
      <w:marBottom w:val="0"/>
      <w:divBdr>
        <w:top w:val="none" w:sz="0" w:space="0" w:color="auto"/>
        <w:left w:val="none" w:sz="0" w:space="0" w:color="auto"/>
        <w:bottom w:val="none" w:sz="0" w:space="0" w:color="auto"/>
        <w:right w:val="none" w:sz="0" w:space="0" w:color="auto"/>
      </w:divBdr>
      <w:divsChild>
        <w:div w:id="1786726653">
          <w:marLeft w:val="0"/>
          <w:marRight w:val="0"/>
          <w:marTop w:val="0"/>
          <w:marBottom w:val="0"/>
          <w:divBdr>
            <w:top w:val="none" w:sz="0" w:space="0" w:color="auto"/>
            <w:left w:val="none" w:sz="0" w:space="0" w:color="auto"/>
            <w:bottom w:val="none" w:sz="0" w:space="0" w:color="auto"/>
            <w:right w:val="none" w:sz="0" w:space="0" w:color="auto"/>
          </w:divBdr>
          <w:divsChild>
            <w:div w:id="833835253">
              <w:marLeft w:val="0"/>
              <w:marRight w:val="0"/>
              <w:marTop w:val="0"/>
              <w:marBottom w:val="0"/>
              <w:divBdr>
                <w:top w:val="none" w:sz="0" w:space="0" w:color="auto"/>
                <w:left w:val="none" w:sz="0" w:space="0" w:color="auto"/>
                <w:bottom w:val="none" w:sz="0" w:space="0" w:color="auto"/>
                <w:right w:val="none" w:sz="0" w:space="0" w:color="auto"/>
              </w:divBdr>
              <w:divsChild>
                <w:div w:id="6260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96774">
      <w:bodyDiv w:val="1"/>
      <w:marLeft w:val="0"/>
      <w:marRight w:val="0"/>
      <w:marTop w:val="0"/>
      <w:marBottom w:val="0"/>
      <w:divBdr>
        <w:top w:val="none" w:sz="0" w:space="0" w:color="auto"/>
        <w:left w:val="none" w:sz="0" w:space="0" w:color="auto"/>
        <w:bottom w:val="none" w:sz="0" w:space="0" w:color="auto"/>
        <w:right w:val="none" w:sz="0" w:space="0" w:color="auto"/>
      </w:divBdr>
      <w:divsChild>
        <w:div w:id="1314992950">
          <w:marLeft w:val="0"/>
          <w:marRight w:val="0"/>
          <w:marTop w:val="0"/>
          <w:marBottom w:val="0"/>
          <w:divBdr>
            <w:top w:val="none" w:sz="0" w:space="0" w:color="auto"/>
            <w:left w:val="none" w:sz="0" w:space="0" w:color="auto"/>
            <w:bottom w:val="none" w:sz="0" w:space="0" w:color="auto"/>
            <w:right w:val="none" w:sz="0" w:space="0" w:color="auto"/>
          </w:divBdr>
          <w:divsChild>
            <w:div w:id="1071387895">
              <w:marLeft w:val="0"/>
              <w:marRight w:val="0"/>
              <w:marTop w:val="0"/>
              <w:marBottom w:val="0"/>
              <w:divBdr>
                <w:top w:val="none" w:sz="0" w:space="0" w:color="auto"/>
                <w:left w:val="none" w:sz="0" w:space="0" w:color="auto"/>
                <w:bottom w:val="none" w:sz="0" w:space="0" w:color="auto"/>
                <w:right w:val="none" w:sz="0" w:space="0" w:color="auto"/>
              </w:divBdr>
              <w:divsChild>
                <w:div w:id="10218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3254">
      <w:bodyDiv w:val="1"/>
      <w:marLeft w:val="0"/>
      <w:marRight w:val="0"/>
      <w:marTop w:val="0"/>
      <w:marBottom w:val="0"/>
      <w:divBdr>
        <w:top w:val="none" w:sz="0" w:space="0" w:color="auto"/>
        <w:left w:val="none" w:sz="0" w:space="0" w:color="auto"/>
        <w:bottom w:val="none" w:sz="0" w:space="0" w:color="auto"/>
        <w:right w:val="none" w:sz="0" w:space="0" w:color="auto"/>
      </w:divBdr>
      <w:divsChild>
        <w:div w:id="1313607613">
          <w:marLeft w:val="0"/>
          <w:marRight w:val="0"/>
          <w:marTop w:val="0"/>
          <w:marBottom w:val="0"/>
          <w:divBdr>
            <w:top w:val="none" w:sz="0" w:space="0" w:color="auto"/>
            <w:left w:val="none" w:sz="0" w:space="0" w:color="auto"/>
            <w:bottom w:val="none" w:sz="0" w:space="0" w:color="auto"/>
            <w:right w:val="none" w:sz="0" w:space="0" w:color="auto"/>
          </w:divBdr>
          <w:divsChild>
            <w:div w:id="1714187167">
              <w:marLeft w:val="0"/>
              <w:marRight w:val="0"/>
              <w:marTop w:val="0"/>
              <w:marBottom w:val="0"/>
              <w:divBdr>
                <w:top w:val="none" w:sz="0" w:space="0" w:color="auto"/>
                <w:left w:val="none" w:sz="0" w:space="0" w:color="auto"/>
                <w:bottom w:val="none" w:sz="0" w:space="0" w:color="auto"/>
                <w:right w:val="none" w:sz="0" w:space="0" w:color="auto"/>
              </w:divBdr>
              <w:divsChild>
                <w:div w:id="11155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96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cc.org/communities/local-senates/handbook/partI"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Microsoft Office User</cp:lastModifiedBy>
  <cp:revision>2</cp:revision>
  <dcterms:created xsi:type="dcterms:W3CDTF">2019-05-07T22:15:00Z</dcterms:created>
  <dcterms:modified xsi:type="dcterms:W3CDTF">2019-05-07T22:15:00Z</dcterms:modified>
</cp:coreProperties>
</file>